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KiAustrG (Nordrhein-Westfalen)</w:t>
      </w:r>
    </w:p>
    <w:p>
      <w:r>
        <w:rPr>
          <w:color w:val="555555"/>
          <w:sz w:val="18"/>
        </w:rPr>
        <w:t xml:space="preserve">Kirchenaustrittsgesetz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der Wirksamkeit der Austrittserklärung entfallen für den Bereich des staatlichen Rechts sämtliche Rechte und Pflichten, die auf der persönlichen Zugehörigkeit zu der Kirche, Religions- oder Weltanschauungsgemeinschaft beruhen.</w:t>
      </w:r>
    </w:p>
    <w:p>
      <w:r>
        <w:t xml:space="preserve">(2) Die Austrittserklärung wird mit dem Ablauf des Tages wirksam, an dem die Niederschrift der Austrittserklärung unterzeichnet worden oder an dem die schriftliche Erklärung bei dem Amtsgericht eingegangen ist.</w:t>
      </w:r>
    </w:p>
    <w:p>
      <w:r>
        <w:t xml:space="preserve">(3) Das Ende der Kirchensteuerpflicht als Folge des Kirchenaustritts regelt das Gesetz über die Erhebung vor Kirchensteuern im Lande Nordrhein-Westfalen in der jeweils geltenden Fassung.</w:t>
      </w:r>
    </w:p>
    <w:p>
      <w:r>
        <w:t xml:space="preserve">(4) Rechtspflichten, die nicht auf der persönlichen Zugehörigkeit zu der Kirche, Religions- oder Weltanschauungsgemeinschaft beruhen, insbesondere Lasten, für die kraft besonderen Rechtstitels bestimmte Grundstücke haften, werden durch die Austrittserklärung nicht berührt.</w:t>
      </w:r>
    </w:p>
    <w:p>
      <w:r>
        <w:rPr>
          <w:color w:val="555555"/>
          <w:sz w:val="17"/>
        </w:rPr>
        <w:t xml:space="preserve">Zitiervorschlag: § 4 KiAustrG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https://recht.nulegal.eu/gesetze/KiAustrG/4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