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KiAusV (Brandenburg)</w:t>
      </w:r>
    </w:p>
    <w:p>
      <w:r>
        <w:rPr>
          <w:color w:val="555555"/>
          <w:sz w:val="18"/>
        </w:rPr>
        <w:t xml:space="preserve">Kirchenaustrittsverordnung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Austrittserklärung wird mit Ablauf des Tages wirksam, an dem</w:t>
      </w:r>
    </w:p>
    <w:p>
      <w:r>
        <w:t xml:space="preserve">die Niederschrift der Austrittserklärung unterzeichnet wurde oder an dem</w:t>
      </w:r>
    </w:p>
    <w:p>
      <w:r>
        <w:t xml:space="preserve">die schriftliche Erklärung bei dem Amtsgericht eingegangen ist.</w:t>
      </w:r>
    </w:p>
    <w:p>
      <w:r>
        <w:t xml:space="preserve">(2) Das Ende der Kirchensteuerpflicht als Folge des Kirchenaustritts regelt</w:t>
      </w:r>
    </w:p>
    <w:p>
      <w:r>
        <w:t xml:space="preserve">das Brandenburgische Kirchensteuergesetz.</w:t>
      </w:r>
    </w:p>
    <w:p>
      <w:r>
        <w:rPr>
          <w:color w:val="555555"/>
          <w:sz w:val="17"/>
        </w:rPr>
        <w:t xml:space="preserve">Zitiervorschlag: § 4 KiAusV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https://recht.nulegal.eu/gesetze/KiAusV/4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