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KiAusV (Brandenburg)</w:t>
      </w:r>
    </w:p>
    <w:p>
      <w:r>
        <w:rPr>
          <w:color w:val="555555"/>
          <w:sz w:val="18"/>
        </w:rPr>
        <w:t xml:space="preserve">Kirchenaustrittsverordnung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Austrittserklärung kann auch in öffentlich beglaubigter</w:t>
      </w:r>
    </w:p>
    <w:p>
      <w:r>
        <w:t xml:space="preserve">Form schriftlich erklärt werden.</w:t>
      </w:r>
    </w:p>
    <w:p>
      <w:r>
        <w:t xml:space="preserve">(2) Die Kirche, Religionsgemeinschaft oder Weltanschauungsvereinigung muss</w:t>
      </w:r>
    </w:p>
    <w:p>
      <w:r>
        <w:t xml:space="preserve">eindeutig bezeichnet sein. Ein Nachweis der Zugehörigkeit ist nicht</w:t>
      </w:r>
    </w:p>
    <w:p>
      <w:r>
        <w:t xml:space="preserve">erforderlich.</w:t>
      </w:r>
    </w:p>
    <w:p>
      <w:r>
        <w:t xml:space="preserve">(3) Die Austrittserklärung darf keine Vorbehalte, Bedingungen oder</w:t>
      </w:r>
    </w:p>
    <w:p>
      <w:r>
        <w:t xml:space="preserve">Zusätze enthalten.</w:t>
      </w:r>
    </w:p>
    <w:p>
      <w:r>
        <w:rPr>
          <w:color w:val="555555"/>
          <w:sz w:val="17"/>
        </w:rPr>
        <w:t xml:space="preserve">Zitiervorschlag: § 3 KiAusV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https://recht.nulegal.eu/gesetze/KiAusV/3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