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Den Austritt kann erklären, wer das 14. Lebensjahr vollendet hat</w:t>
      </w:r>
    </w:p>
    <w:p>
      <w:r>
        <w:t xml:space="preserve">und nicht geschäftsunfähig ist.</w:t>
      </w:r>
    </w:p>
    <w:p>
      <w:r>
        <w:t xml:space="preserve">(2) Für Kinder unter 14 Jahren und für Geschäftsunfähige</w:t>
      </w:r>
    </w:p>
    <w:p>
      <w:r>
        <w:t xml:space="preserve">kann der gesetzliche Vertreter, dem die Personensorge zusteht, den Austritt</w:t>
      </w:r>
    </w:p>
    <w:p>
      <w:r>
        <w:t xml:space="preserve">erklären.</w:t>
      </w:r>
    </w:p>
    <w:p>
      <w:r>
        <w:t xml:space="preserve">(3) Hat das Kind das zwölfte Lebensjahr vollendet, so kann sein</w:t>
      </w:r>
    </w:p>
    <w:p>
      <w:r>
        <w:t xml:space="preserve">Austritt nur mit seiner Zustimmung erklärt werden.</w:t>
      </w:r>
    </w:p>
    <w:p>
      <w:r>
        <w:t xml:space="preserve">(4) Eine Austrittserklärung durch einen bevollmächtigten</w:t>
      </w:r>
    </w:p>
    <w:p>
      <w:r>
        <w:t xml:space="preserve">Vertreter ist nicht zulässig.</w:t>
      </w:r>
    </w:p>
    <w:p>
      <w:r>
        <w:rPr>
          <w:color w:val="555555"/>
          <w:sz w:val="17"/>
        </w:rPr>
        <w:t xml:space="preserve">Zitiervorschlag: § 2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