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KhWbAusbV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und auf Grund des § 25 Absatz 1 Satz 1 der Handwerksordnung, der durch Artikel 146 der Verordnung vom 31. Oktober 2006 (BGBl. I S. 2407) geändert worden ist, jeweils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