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KhWbAusbV — Gegenstand der Berufsausbildung und Ausbildungsrahmenplan</w:t>
      </w:r>
    </w:p>
    <w:p>
      <w:r>
        <w:rPr>
          <w:color w:val="555555"/>
          <w:sz w:val="18"/>
        </w:rPr>
        <w:t xml:space="preserve">Kerzenhersteller- und Wachsbildnerausbildungsverordnung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abgewichen werden, wenn und soweit betriebspraktische Besonderheiten oder Gründe, die in der Person des oder der Auszubildenden liegen, die Abweichung erfordern.</w:t>
      </w:r>
    </w:p>
    <w:p>
      <w:r>
        <w:t xml:space="preserve">(2) Die im Ausbildungsrahmenplan genannten Fertigkeiten, Kenntnisse und Fähigkeiten sollen so vermittelt werden,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KhWbAusbV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https://recht.nulegal.eu/gesetze/KhWbAusbV/3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