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KhWbAusbV — Gewichtung der Prüfungsbereiche und Anforderungen für das Bestehen der Abschluss- und Gesellenprüfung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von Wachsprodukten    mit 20 Prozent,</w:t>
      </w:r>
    </w:p>
    <w:p>
      <w:r>
        <w:rPr>
          <w:rFonts w:ascii="Courier New" w:hAnsi="Courier New"/>
          <w:sz w:val="17"/>
        </w:rPr>
        <w:t xml:space="preserve">Verarbeiten von Roh- und Hilfs-stoffen    mit 30 Prozent,</w:t>
      </w:r>
    </w:p>
    <w:p>
      <w:r>
        <w:rPr>
          <w:rFonts w:ascii="Courier New" w:hAnsi="Courier New"/>
          <w:sz w:val="17"/>
        </w:rPr>
        <w:t xml:space="preserve">Kundenorientierung und Gestaltung von Wachsprodukten    mit 25 Prozent,</w:t>
      </w:r>
    </w:p>
    <w:p>
      <w:r>
        <w:rPr>
          <w:rFonts w:ascii="Courier New" w:hAnsi="Courier New"/>
          <w:sz w:val="17"/>
        </w:rPr>
        <w:t xml:space="preserve">Betriebliche Herstellungsprozesse    mit 15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und Gesellenprüfung ist bestanden, wenn die Prüfungsleistungen wie folgt bewertet worden sind:</w:t>
      </w:r>
    </w:p>
    <w:p>
      <w:pPr>
        <w:ind w:left="420"/>
      </w:pPr>
      <w:r>
        <w:t xml:space="preserve">1. das Gesamtergebnis mit mindestens „ausreichend“,</w:t>
      </w:r>
    </w:p>
    <w:p>
      <w:pPr>
        <w:ind w:left="420"/>
      </w:pPr>
      <w:r>
        <w:t xml:space="preserve">2. in mindestens vier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„Kundenorientierung und Gestaltung von Wachsprodukten“, „Betriebliche Herstellungsprozesse“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18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