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KhWbAusbV — Inhalt</w:t>
      </w:r>
    </w:p>
    <w:p>
      <w:r>
        <w:rPr>
          <w:color w:val="555555"/>
          <w:sz w:val="18"/>
        </w:rPr>
        <w:t xml:space="preserve">Kerzenhersteller- und Wachsbildnerausbildungsverordnung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Abschluss- und Gesellenprüfung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aufgeführten Fertigkeiten, Kenntnissen und Fähigkeiten entspricht.</w:t>
      </w:r>
    </w:p>
    <w:p>
      <w:r>
        <w:rPr>
          <w:color w:val="555555"/>
          <w:sz w:val="17"/>
        </w:rPr>
        <w:t xml:space="preserve">Zitiervorschlag: § 11 KhWbAusbV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https://recht.nulegal.eu/gesetze/KhWbAusbV/11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