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KfzUnfEntschV</w:t>
      </w:r>
    </w:p>
    <w:p>
      <w:r>
        <w:rPr>
          <w:color w:val="555555"/>
          <w:sz w:val="18"/>
        </w:rPr>
        <w:t xml:space="preserve">Verordnung über den Entschädigungsfonds für Schäden aus Kraftfahrzeugunfällen</w:t>
      </w:r>
    </w:p>
    <w:p>
      <w:r>
        <w:rPr>
          <w:color w:val="555555"/>
          <w:sz w:val="18"/>
        </w:rPr>
        <w:t xml:space="preserve">Stand: 10.06.2019 (konsolidierte Textfassung, kein amtliches Inkrafttretensdatum)</w:t>
      </w:r>
    </w:p>
    <w:p>
      <w:r>
        <w:t xml:space="preserve">Ansprüche gegen die Verkehrsopferhilfe nach § 12 des Pflichtversicherungsgesetzes und § 10 dieser Verordnung können im Wege der Klage erst geltend gemacht werden, nachdem ein Verfahren vor der Schiedsstelle vorausgegangen ist, oder wenn seit der Anrufung der Schiedsstelle mehr als drei Monate verstrichen sind.</w:t>
      </w:r>
    </w:p>
    <w:p>
      <w:r>
        <w:rPr>
          <w:color w:val="555555"/>
          <w:sz w:val="17"/>
        </w:rPr>
        <w:t xml:space="preserve">Zitiervorschlag: § 9 KfzUnfEntschV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https://recht.nulegal.eu/gesetze/KfzUnfEntschV/9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