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KfzUnfEntschV</w:t>
      </w:r>
    </w:p>
    <w:p>
      <w:r>
        <w:rPr>
          <w:color w:val="555555"/>
          <w:sz w:val="18"/>
        </w:rPr>
        <w:t xml:space="preserve">Verordnung über den Entschädigungsfonds für Schäden aus Kraftfahrzeugunfällen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1966 in Kraft.</w:t>
      </w:r>
    </w:p>
    <w:p>
      <w:r>
        <w:rPr>
          <w:color w:val="555555"/>
          <w:sz w:val="17"/>
        </w:rPr>
        <w:t xml:space="preserve">Zitiervorschlag: § 12 KfzUnfEntschV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https://recht.nulegal.eu/gesetze/KfzUnfEntschV/12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