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KfzTechMstrV 2020 — Fachgespräch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Kunden zu beraten, insbesondere im Hinblick auf den jeweiligen Kundenwunsch; dabei hat der Prüfling wirtschaftliche Aspekte sowie rechtliche und technische Anforderungen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und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Kraftfahrzeugtechniker-Handwerk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KfzTechMstrV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https://recht.nulegal.eu/gesetze/KfzTechMstrV%202020/5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