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KfzTechMstrV 2020 — Ziel und Gliederung der Prüfung in Teil I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In der Prüfung in Teil I hat der Prüfling umfängliche und zusammenhängende berufliche Aufgaben zu lösen und dabei nachzuweisen, dass er wesentliche Tätigkeiten des Kraftfahrzeugtechniker-Handwerks meisterhaft verrichtet.</w:t>
      </w:r>
    </w:p>
    <w:p>
      <w:r>
        <w:t xml:space="preserve">(2) Die Prüfung in Teil I gliedert sich in folgende Prüfungsbereiche:</w:t>
      </w:r>
    </w:p>
    <w:p>
      <w:pPr>
        <w:ind w:left="420"/>
      </w:pPr>
      <w:r>
        <w:t xml:space="preserve">1. ein Meisterprüfungsprojekt nach § 4 und ein darauf bezogenes Fachgespräch nach § 5 sowie</w:t>
      </w:r>
    </w:p>
    <w:p>
      <w:pPr>
        <w:ind w:left="420"/>
      </w:pPr>
      <w:r>
        <w:t xml:space="preserve">2. eine Situationsaufgabe nach § 6.</w:t>
      </w:r>
    </w:p>
    <w:p>
      <w:r>
        <w:rPr>
          <w:color w:val="555555"/>
          <w:sz w:val="17"/>
        </w:rPr>
        <w:t xml:space="preserve">Zitiervorschlag: § 3 KfzTechMstrV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https://recht.nulegal.eu/gesetze/KfzTechMstrV%202020/3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