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KfzTechMstrV 2020 — Allgemeine Prüfungs- und Verfahrensregelungen, weitere Regelungen zur Meisterprüfung</w:t>
      </w:r>
    </w:p>
    <w:p>
      <w:r>
        <w:rPr>
          <w:color w:val="555555"/>
          <w:sz w:val="18"/>
        </w:rPr>
        <w:t xml:space="preserve">Kraftfahrzeugtechnikermeisterverordnung</w:t>
      </w:r>
    </w:p>
    <w:p>
      <w:r>
        <w:rPr>
          <w:color w:val="555555"/>
          <w:sz w:val="18"/>
        </w:rPr>
        <w:t xml:space="preserve">Stand: 02.02.2022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 vom 26. Oktober 2011 (BGBl. I S. 2149) in der jeweils geltenden Fassung.</w:t>
      </w:r>
    </w:p>
    <w:p>
      <w:r>
        <w:rPr>
          <w:color w:val="555555"/>
          <w:sz w:val="17"/>
        </w:rPr>
        <w:t xml:space="preserve">Zitiervorschlag: § 13 KfzTechMstrV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https://recht.nulegal.eu/gesetze/KfzTechMstrV%202020/13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