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KfzSTFPrV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53 Absatz 1 in Verbindung mit Absatz 2, mit § 53a Absatz 1 Nummer 1 und mit § 53b des Berufsbildungsgesetzes in der Fassung der Bekanntmachung vom 4. Mai 2020 (BGBl. I S. 920) sowie in Verbindung mit § 1 Absatz 2 des Zuständigkeitsanpassungsgesetzes vom 16. August 2002 (BGBl. I S. 3165) und dem Organisationserlass vom 8. Dezember 2021 (BGBl. I S. 5176) und</w:t>
      </w:r>
    </w:p>
    <w:p>
      <w:pPr>
        <w:ind w:left="420"/>
      </w:pPr>
      <w:r>
        <w:t xml:space="preserve">– des § 42 Absatz 1 in Verbindung mit Absatz 2, mit § 42a Absatz 1 Nummer 1 und mit § 42b der Handwerksordnung, von denen § 42 Absatz 1 durch Artikel 2 Nummer 1 des Gesetzes vom 9. November 2022 (BGBl. I S. 2009) geändert worden ist,</w:t>
      </w:r>
    </w:p>
    <w:p>
      <w:r>
        <w:t xml:space="preserve">verordnet das Bundesministerium für Bildung und Forschung im Einvernehmen mit dem Bundesministerium für Wirtschaft und Klimaschutz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