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KfzSTFPrV — System- und bauteilbezogene Arbeitsaufgabe</w:t>
      </w:r>
    </w:p>
    <w:p>
      <w:r>
        <w:rPr>
          <w:color w:val="555555"/>
          <w:sz w:val="18"/>
        </w:rPr>
        <w:t xml:space="preserve">Kraftfahrzeug-Servicetechniker-Fortbildungsprüfungsverordnung</w:t>
      </w:r>
    </w:p>
    <w:p>
      <w:r>
        <w:rPr>
          <w:color w:val="555555"/>
          <w:sz w:val="18"/>
        </w:rPr>
        <w:t xml:space="preserve">Stand: 30.09.2023 (konsolidierte Textfassung, kein amtliches Inkrafttretensdatum)</w:t>
      </w:r>
    </w:p>
    <w:p>
      <w:r>
        <w:t xml:space="preserve">(1) Im Rahmen der system- und bauteilbezogenen Arbeitsaufgabe hat die zu prüfende Person nachzuweisen, dass sie in der Lage ist, eine system- und bauteilbezogene Arbeitsaufgabe durchzuführen, die sich an einem Kundenauftrag orientiert.</w:t>
      </w:r>
    </w:p>
    <w:p>
      <w:r>
        <w:t xml:space="preserve">(2) Die system- und bauteilbezogene Arbeitsaufgabe besteht aus zwei Prüfungsleistungen in Form von zwei Arbeiten im Rahmen eines Kundenauftrags. Dabei ist der Prüfungsbereich „Technik“ nach § 4 einzubeziehen.</w:t>
      </w:r>
    </w:p>
    <w:p>
      <w:r>
        <w:t xml:space="preserve">(3) Der Prüfungsausschuss legt eine system- und bauteilbezogene Arbeitsaufgabe fest, die zu keinem der in § 7 Absatz 3 ausgewählten Systeme Bezug hat.</w:t>
      </w:r>
    </w:p>
    <w:p>
      <w:r>
        <w:t xml:space="preserve">(4) Die system- und bauteilbezogene Arbeitsaufgabe erstreckt sich auf zwei der drei folgenden Arbeiten, die durch den Prüfungsausschuss festgelegt werden:</w:t>
      </w:r>
    </w:p>
    <w:p>
      <w:pPr>
        <w:ind w:left="420"/>
      </w:pPr>
      <w:r>
        <w:t xml:space="preserve">1. Fehler und Schäden an einer Baugruppe diagnostizieren,</w:t>
      </w:r>
    </w:p>
    <w:p>
      <w:pPr>
        <w:ind w:left="420"/>
      </w:pPr>
      <w:r>
        <w:t xml:space="preserve">2. eine Baugruppe instand setzen oder</w:t>
      </w:r>
    </w:p>
    <w:p>
      <w:pPr>
        <w:ind w:left="420"/>
      </w:pPr>
      <w:r>
        <w:t xml:space="preserve">3. die Systeme einer Baugruppe einstellen.</w:t>
      </w:r>
    </w:p>
    <w:p>
      <w:r>
        <w:t xml:space="preserve">(5) Die Bearbeitungszeit beträgt insgesamt zwei Stunden.</w:t>
      </w:r>
    </w:p>
    <w:p>
      <w:r>
        <w:rPr>
          <w:color w:val="555555"/>
          <w:sz w:val="17"/>
        </w:rPr>
        <w:t xml:space="preserve">Zitiervorschlag: § 9 KfzSTFPrV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https://recht.nulegal.eu/gesetze/KfzSTFPrV/9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