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KfzSTFPrV — Befreiung von einzelnen Prüfungsbestandteilen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Wird die zu prüfende Person nach § 56 Absatz 2 des Berufsbildungsgesetzes oder § 42h Absatz 2 der Handwerksordnung von der Ablegung einzelner Prüfungsbestandteile befreit, bleiben diese Prüfungsbestandteile für die Anwendung der §§ 10 und 11 außer Betracht. Für die übrigen Prüfungsbestandteile erhöhen sich die Anteile nach § 10 Absatz 2 oder Absatz 3 oder § 11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12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