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KfzPflVV</w:t>
      </w:r>
    </w:p>
    <w:p>
      <w:r>
        <w:rPr>
          <w:color w:val="555555"/>
          <w:sz w:val="18"/>
        </w:rPr>
        <w:t xml:space="preserve">Kraftfahrzeug-Pflichtversicherungsverordnung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Pflichtversicherungsgesetzes vom 5. April 1965 (BGBl. I S. 213), der durch Artikel 5 Nr. 1 des Gesetzes vom 21. Juli 1994 (BGBl. I S. 1630) neu gefaßt worden ist, verordnet das Bundesministerium der Justiz im Einvernehmen mit dem Bundesministerium der Finanzen und dem Bundesministerium für Verkehr:</w:t>
      </w:r>
    </w:p>
    <w:p>
      <w:r>
        <w:rPr>
          <w:color w:val="555555"/>
          <w:sz w:val="17"/>
        </w:rPr>
        <w:t xml:space="preserve">Zitiervorschlag: Eingangsformel KfzPflVV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https://recht.nulegal.eu/gesetze/KfzPflVV/eingangsformel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