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KfzPflVV</w:t>
      </w:r>
    </w:p>
    <w:p>
      <w:r>
        <w:rPr>
          <w:color w:val="555555"/>
          <w:sz w:val="18"/>
        </w:rPr>
        <w:t xml:space="preserve">Kraftfahrzeug-Pflichtversicherungsverordnung</w:t>
      </w:r>
    </w:p>
    <w:p>
      <w:r>
        <w:rPr>
          <w:color w:val="555555"/>
          <w:sz w:val="18"/>
        </w:rPr>
        <w:t xml:space="preserve">Stand: 10.06.2019 (konsolidierte Textfassung, kein amtliches Inkrafttretensdatum)</w:t>
      </w:r>
    </w:p>
    <w:p>
      <w:r>
        <w:t xml:space="preserve">Sagt der Versicherer durch Aushändigung der zur behördlichen Zulassung notwendigen Versicherungsbestätigung vorläufigen Deckungsschutz zu, so ist vorläufiger Deckungsschutz vom Zeitpunkt der behördlichen Zulassung des Fahrzeuges oder bei einem zugelassenen Fahrzeug vom Zeitpunkt der Einreichung der Versicherungsbestätigung bei der Zulassungsstelle an bis zur Einlösung des Versicherungsscheins zu gewähren. Sofern er den Versicherungsnehmer schriftlich darüber belehrt, kann sich der Versicherer vorbehalten, daß die vorläufige Deckung rückwirkend außer Kraft tritt, wenn bei einem unverändert angenommenen Versicherungsantrag der Versicherungsschein nicht binnen einer im Versicherungsvertrag bestimmten, mindestens zweiwöchigen Frist eingelöst wird und der Versicherungsnehmer die Verspätung zu vertreten hat.</w:t>
      </w:r>
    </w:p>
    <w:p>
      <w:r>
        <w:rPr>
          <w:color w:val="555555"/>
          <w:sz w:val="17"/>
        </w:rPr>
        <w:t xml:space="preserve">Zitiervorschlag: § 9 KfzPflVV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https://recht.nulegal.eu/gesetze/KfzPflVV/9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