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KfzPflVV</w:t>
      </w:r>
    </w:p>
    <w:p>
      <w:r>
        <w:rPr>
          <w:color w:val="555555"/>
          <w:sz w:val="18"/>
        </w:rPr>
        <w:t xml:space="preserve">Kraftfahrzeug-Pflichtversicherungsverordnung</w:t>
      </w:r>
    </w:p>
    <w:p>
      <w:r>
        <w:rPr>
          <w:color w:val="555555"/>
          <w:sz w:val="18"/>
        </w:rPr>
        <w:t xml:space="preserve">Stand: 10.06.2019 (konsolidierte Textfassung, kein amtliches Inkrafttretensdatum)</w:t>
      </w:r>
    </w:p>
    <w:p>
      <w:r>
        <w:t xml:space="preserve">(1) Hat der Versicherungsnehmer an den Geschädigten Rentenzahlungen zu leisten und übersteigt der Kapitalwert der Rente die Versicherungssumme oder den nach Abzug etwaiger sonstiger Leistungen aus dem Versicherungsfall noch verbleibenden Restbetrag der Versicherungssumme, so muß die zu leistende Rente nur im Verhältnis der Versicherungssumme oder ihres Restbetrages zum Kapitalwert der Rente erstattet werden. Der Rentenwert ist auf Grund einer von der Versicherungsaufsichtsbehörde entwickelten oder anerkannten Sterbetafel und unter Zugrundelegung des Rechnungszinses, der die tatsächlichen Kapitalmarktzinsen in der Bundesrepublik Deutschland berücksichtigt, zu berechnen. Hierbei ist der arithmetische Mittelwert über die jeweils letzten zehn Jahre der Umlaufrenditen der öffentlichen Hand, wie sie von der Deutschen Bundesbank veröffentlicht werden, zugrunde zu legen. Nachträgliche Erhöhungen oder Ermäßigungen der Rente sind zum Zeitpunkt des ursprünglichen Rentenbeginns mit dem Barwert einer aufgeschobenen Rente nach der genannten Rechnungsgrundlage zu berechnen.</w:t>
      </w:r>
    </w:p>
    <w:p>
      <w:r>
        <w:t xml:space="preserve">(2) Für die Berechnung von Waisenrenten kann das 18. Lebensjahr als frühestes Endalter vereinbart werden.</w:t>
      </w:r>
    </w:p>
    <w:p>
      <w:r>
        <w:t xml:space="preserve">(3) Für die Berechnung von Geschädigtenrenten kann bei unselbständig Tätigen das vollendete 65. Lebensjahr als Endalter vereinbart werden, sofern nicht durch Urteil, Vergleich oder eine andere Festlegung etwas anderes bestimmt ist oder sich die der Festlegung zugrunde gelegten Umstände ändern.</w:t>
      </w:r>
    </w:p>
    <w:p>
      <w:r>
        <w:t xml:space="preserve">(4) Bei der Berechnung des Betrages, mit dem sich der Versicherungsnehmer an laufenden Rentenzahlungen beteiligen muß, wenn der Kapitalwert der Rente die Versicherungssumme oder die nach Abzug sonstiger Leistungen verbleibende Restversicherungssumme übersteigt, können die sonstigen Leistungen mit ihrem vollen Betrag von der Versicherungssumme abgesetzt werden.</w:t>
      </w:r>
    </w:p>
    <w:p>
      <w:r>
        <w:rPr>
          <w:color w:val="555555"/>
          <w:sz w:val="17"/>
        </w:rPr>
        <w:t xml:space="preserve">Zitiervorschlag: § 8 KfzPflVV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https://recht.nulegal.eu/gesetze/KfzPflVV/8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