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KfzPflVV</w:t>
      </w:r>
    </w:p>
    <w:p>
      <w:r>
        <w:rPr>
          <w:color w:val="555555"/>
          <w:sz w:val="18"/>
        </w:rPr>
        <w:t xml:space="preserve">Kraftfahrzeug-Pflichtversicherungsverordnung</w:t>
      </w:r>
    </w:p>
    <w:p>
      <w:r>
        <w:rPr>
          <w:color w:val="555555"/>
          <w:sz w:val="18"/>
        </w:rPr>
        <w:t xml:space="preserve">Stand: 10.06.2019 (konsolidierte Textfassung, kein amtliches Inkrafttretensdatum)</w:t>
      </w:r>
    </w:p>
    <w:p>
      <w:r>
        <w:t xml:space="preserve">Wird eine Obliegenheitsverletzung in der Absicht begangen, sich oder einem Dritten dadurch einen rechtswidrigen Vermögensvorteil zu verschaffen, ist die Leistungsfreiheit hinsichtlich des erlangten rechtswidrigen Vermögensvorteils unbeschränkt. Gleiches gilt hinsichtlich des Mehrbetrages, wenn der Versicherungsnehmer vorsätzlich oder grob fahrlässig einen Anspruch ganz oder teilweise unberechtigt anerkennt oder befriedigt, eine Anzeigepflicht verletzt oder bei einem Rechtsstreit dem Versicherer nicht dessen Führung überläßt.</w:t>
      </w:r>
    </w:p>
    <w:p>
      <w:r>
        <w:rPr>
          <w:color w:val="555555"/>
          <w:sz w:val="17"/>
        </w:rPr>
        <w:t xml:space="preserve">Zitiervorschlag: § 7 KfzPflVV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https://recht.nulegal.eu/gesetze/KfzPflVV/7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