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KfzPflVV</w:t>
      </w:r>
    </w:p>
    <w:p>
      <w:r>
        <w:rPr>
          <w:color w:val="555555"/>
          <w:sz w:val="18"/>
        </w:rPr>
        <w:t xml:space="preserve">Kraftfahrzeug-Pflichtversicherungsverordnung</w:t>
      </w:r>
    </w:p>
    <w:p>
      <w:r>
        <w:rPr>
          <w:color w:val="555555"/>
          <w:sz w:val="18"/>
        </w:rPr>
        <w:t xml:space="preserve">Stand: 10.06.2019 (konsolidierte Textfassung, kein amtliches Inkrafttretensdatum)</w:t>
      </w:r>
    </w:p>
    <w:p>
      <w:r>
        <w:t xml:space="preserve">(1) Wegen einer nach Eintritt des Versicherungsfalls vorsätzlich oder grob fahrlässig begangenen Obliegenheitsverletzung ist die Leistungsfreiheit des Versicherers dem Versicherungsnehmer gegenüber vorbehaltlich der Absätze 2 und 3 auf einen Betrag von höchstens 2 500 Euro beschränkt; die Beweislast für das Nichtvorliegen einer groben Fahrlässigkeit trägt der Versicherungsnehmer</w:t>
      </w:r>
    </w:p>
    <w:p>
      <w:r>
        <w:t xml:space="preserve">(2) Soweit eine grob fahrlässig begangene Obliegenheitsverletzung weder Einfluß auf die Feststellung des Versicherungsfalles noch auf die Feststellung oder den Umfang der dem Versicherer obliegenden Leistung gehabt hat, bleibt der Versicherer zur Leistung verpflichtet.</w:t>
      </w:r>
    </w:p>
    <w:p>
      <w:r>
        <w:t xml:space="preserve">(3) Bei besonders schwerwiegender vorsätzlich begangener Verletzung der Aufklärungs- oder Schadensminderungspflichten ist die Leistungsfreiheit des Versicherers auf höchstens 5 000 Euro beschränkt.</w:t>
      </w:r>
    </w:p>
    <w:p>
      <w:r>
        <w:rPr>
          <w:color w:val="555555"/>
          <w:sz w:val="17"/>
        </w:rPr>
        <w:t xml:space="preserve">Zitiervorschlag: § 6 KfzPflVV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https://recht.nulegal.eu/gesetze/KfzPflVV/6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