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KfzPflVV</w:t>
      </w:r>
    </w:p>
    <w:p>
      <w:r>
        <w:rPr>
          <w:color w:val="555555"/>
          <w:sz w:val="18"/>
        </w:rPr>
        <w:t xml:space="preserve">Kraftfahrzeug-Pflichtversicherungsverordnung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Änderungen dieser Verordnung und Änderungen der Mindesthöhe der Versicherungssumme finden auf bestehende Versicherungsverhältnisse von dem Zeitpunkt an Anwendung, zu dem die Änderungen in Kraft treten.</w:t>
      </w:r>
    </w:p>
    <w:p>
      <w:r>
        <w:rPr>
          <w:color w:val="555555"/>
          <w:sz w:val="17"/>
        </w:rPr>
        <w:t xml:space="preserve">Zitiervorschlag: § 10 KfzPflVV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https://recht.nulegal.eu/gesetze/KfzPflVV/10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