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KfzMechaAusbV 2013 — Durchführung der Berufsausbildung</w:t>
      </w:r>
    </w:p>
    <w:p>
      <w:r>
        <w:rPr>
          <w:color w:val="555555"/>
          <w:sz w:val="18"/>
        </w:rPr>
        <w:t xml:space="preserve">Verordnung über die Berufsausbildung zum Kraftfahrzeugmechatroniker und zur Kraftfahrzeugmechatronikerin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von § 1 Absatz 3 des Berufsbildungsgesetzes befähigt werden, die insbesondere selbstständiges Planen, Durchführen und Kontrollieren einschließt. Diese Befähigung ist auch in Prüfungen nach den §§ 6 bis 8 nachzuweisen.</w:t>
      </w:r>
    </w:p>
    <w:p>
      <w:r>
        <w:t xml:space="preserve">(2) Die Ausbildenden haben unter Zugrundelegung des Ausbildungsrahmenplans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5 KfzMechaAusbV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https://recht.nulegal.eu/gesetze/KfzMechaAusbV%202013/5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