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KfzMechaAusbV 2013 — Struktur der Berufsausbildung</w:t>
      </w:r>
    </w:p>
    <w:p>
      <w:r>
        <w:rPr>
          <w:color w:val="555555"/>
          <w:sz w:val="18"/>
        </w:rPr>
        <w:t xml:space="preserve">Verordnung über die Berufsausbildung zum Kraftfahrzeugmechatroniker und zur Kraftfahrzeugmechatronikerin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gliedert sich in gemeinsame Ausbildungsinhalte und die Ausbildungsinhalte in einem der Schwerpunkte</w:t>
      </w:r>
    </w:p>
    <w:p>
      <w:pPr>
        <w:ind w:left="420"/>
      </w:pPr>
      <w:r>
        <w:t xml:space="preserve">1. Personenkraftwagentechnik,</w:t>
      </w:r>
    </w:p>
    <w:p>
      <w:pPr>
        <w:ind w:left="420"/>
      </w:pPr>
      <w:r>
        <w:t xml:space="preserve">2. Nutzfahrzeugtechnik,</w:t>
      </w:r>
    </w:p>
    <w:p>
      <w:pPr>
        <w:ind w:left="420"/>
      </w:pPr>
      <w:r>
        <w:t xml:space="preserve">3. Motorradtechnik,</w:t>
      </w:r>
    </w:p>
    <w:p>
      <w:pPr>
        <w:ind w:left="420"/>
      </w:pPr>
      <w:r>
        <w:t xml:space="preserve">4. System- und Hochvolttechnik oder</w:t>
      </w:r>
    </w:p>
    <w:p>
      <w:pPr>
        <w:ind w:left="420"/>
      </w:pPr>
      <w:r>
        <w:t xml:space="preserve">5. Karosserietechnik.</w:t>
      </w:r>
    </w:p>
    <w:p>
      <w:r>
        <w:rPr>
          <w:color w:val="555555"/>
          <w:sz w:val="17"/>
        </w:rPr>
        <w:t xml:space="preserve">Zitiervorschlag: § 3 KfzMechaAusbV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https://recht.nulegal.eu/gesetze/KfzMechaAusbV%202013/3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