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KfzHV — Leistungen in besonderen Härtefällen</w:t>
      </w:r>
    </w:p>
    <w:p>
      <w:r>
        <w:rPr>
          <w:color w:val="555555"/>
          <w:sz w:val="18"/>
        </w:rPr>
        <w:t xml:space="preserve">Kraftfahrzeughilfe-Verordnung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Vermeidung besonderer Härten können Leistungen auch abweichend von § 2 Abs. 1, §§ 6 und 8 Abs. 1 erbracht werden, soweit dies</w:t>
      </w:r>
    </w:p>
    <w:p>
      <w:pPr>
        <w:ind w:left="420"/>
      </w:pPr>
      <w:r>
        <w:t xml:space="preserve">1. notwendig ist, um Leistungen der Kraftfahrzeughilfe von seiten eines anderen Leistungsträgers nicht erforderlich werden zu lassen, oder</w:t>
      </w:r>
    </w:p>
    <w:p>
      <w:pPr>
        <w:ind w:left="420"/>
      </w:pPr>
      <w:r>
        <w:t xml:space="preserve">2. unter den Voraussetzungen des § 3 zur Aufnahme oder Fortsetzung einer beruflichen Tätigkeit unumgänglich ist.</w:t>
      </w:r>
    </w:p>
    <w:p>
      <w:r>
        <w:t xml:space="preserve">Im Rahmen von Satz 1 Nr. 2 kann auch ein Zuschuß für die Beförderung des behinderten Menschen, insbesondere durch Beförderungsdienste, geleistet werden, wenn</w:t>
      </w:r>
    </w:p>
    <w:p>
      <w:pPr>
        <w:ind w:left="420"/>
      </w:pPr>
      <w:r>
        <w:t xml:space="preserve">1. der behinderte Mensch ein Kraftfahrzeug nicht selbst führen kann und auch nicht gewährleistet ist, daß ein Dritter das Kraftfahrzeug für ihn führt (§ 3 Abs. 1 Nr. 2), oder</w:t>
      </w:r>
    </w:p>
    <w:p>
      <w:pPr>
        <w:ind w:left="420"/>
      </w:pPr>
      <w:r>
        <w:t xml:space="preserve">2. die Übernahme der Beförderungskosten anstelle von Kraftfahrzeughilfen wirtschaftlicher und für den behinderten Menschen zumutbar ist;</w:t>
      </w:r>
    </w:p>
    <w:p>
      <w:r>
        <w:t xml:space="preserve">dabei ist zu berücksichtigen, was der behinderte Mensch als Kraftfahrzeughalter bei Anwendung des § 6 für die Anschaffung und die berufliche Nutzung des Kraftfahrzeugs aus eigenen Mitteln aufzubringen hätte.</w:t>
      </w:r>
    </w:p>
    <w:p>
      <w:r>
        <w:t xml:space="preserve">(2) Leistungen nach Absatz 1 Satz 1 können als Darlehen erbracht werden, wenn die dort genannten Ziele auch durch ein Darlehen erreicht werden können; das Darlehen darf zusammen mit einem Zuschuß nach § 6 den nach § 5 maßgebenden Bemessungsbetrag nicht übersteigen. Das Darlehen ist unverzinslich und spätestens innerhalb von fünf Jahren zu tilgen; es können bis zu zwei tilgungsfreie Jahre eingeräumt werden. Auf die Rückzahlung des Darlehens kann unter den in Absatz 1 Satz 1 genannten Voraussetzungen verzichtet werden.</w:t>
      </w:r>
    </w:p>
    <w:p>
      <w:r>
        <w:rPr>
          <w:color w:val="555555"/>
          <w:sz w:val="17"/>
        </w:rPr>
        <w:t xml:space="preserve">Zitiervorschlag: § 9 KfzHV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https://recht.nulegal.eu/gesetze/KfzHV/9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