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KfzHV — Fahrerlaubnis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Kosten, die für die Erlangung einer Fahrerlaubnis notwendig sind, wird ein Zuschuß geleistet. Er beläuft sich bei behinderten Menschen mit einem Einkommen (§ 6 Abs. 3)</w:t>
      </w:r>
    </w:p>
    <w:p>
      <w:pPr>
        <w:ind w:left="420"/>
      </w:pPr>
      <w:r>
        <w:t xml:space="preserve">1. bis 40 vom Hundert der monatlichen Bezugsgröße nach § 18 Abs. 1 des Vierten Buches Sozialgesetzbuch (monatliche Bezugsgröße) auf die volle Höhe,</w:t>
      </w:r>
    </w:p>
    <w:p>
      <w:pPr>
        <w:ind w:left="420"/>
      </w:pPr>
      <w:r>
        <w:t xml:space="preserve">2. bis zu 55 vom Hundert der monatlichen Bezugsgröße auf zwei Drittel,</w:t>
      </w:r>
    </w:p>
    <w:p>
      <w:pPr>
        <w:ind w:left="420"/>
      </w:pPr>
      <w:r>
        <w:t xml:space="preserve">3. bis zu 75 vom Hundert der monatlichen Bezugsgröße auf ein Drittel</w:t>
      </w:r>
    </w:p>
    <w:p>
      <w:r>
        <w:t xml:space="preserve">der entstehenden notwendigen Kosten; § 6 Abs. 1 Satz 3 und Abs. 2 gilt entsprechend. Zuschüsse öffentlich-rechtlicher Stellen für den Erwerb der Fahrerlaubnis, auf die ein vorrangiger Anspruch besteht oder die vorrangig nach pflichtgemäßem Ermessen zu leisten sind, sind anzurechnen.</w:t>
      </w:r>
    </w:p>
    <w:p>
      <w:r>
        <w:t xml:space="preserve">(2) Kosten für behinderungsbedingte Untersuchungen, Ergänzungsprüfungen und Eintragungen in vorhandene Führerscheine werden in vollem Umfang übernommen.</w:t>
      </w:r>
    </w:p>
    <w:p>
      <w:r>
        <w:rPr>
          <w:color w:val="555555"/>
          <w:sz w:val="17"/>
        </w:rPr>
        <w:t xml:space="preserve">Zitiervorschlag: § 8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