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KfzHV — Art und Höhe der Förderung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Hilfe zur Beschaffung eines Kraftfahrzeugs wird in der Regel als Zuschuß geleistet. Der Zuschuß richtet sich nach dem Einkommen des behinderten Menschen nach Maßgabe der folgenden Tabelle:</w:t>
      </w:r>
    </w:p>
    <w:p>
      <w:r>
        <w:rPr>
          <w:rFonts w:ascii="Courier New" w:hAnsi="Courier New"/>
          <w:sz w:val="17"/>
        </w:rPr>
        <w:t xml:space="preserve">Einkommen    Zuschuß</w:t>
      </w:r>
    </w:p>
    <w:p>
      <w:r>
        <w:rPr>
          <w:rFonts w:ascii="Courier New" w:hAnsi="Courier New"/>
          <w:sz w:val="17"/>
        </w:rPr>
        <w:t xml:space="preserve">bis zu v.H. der monatlichen Bezugsgröße nach § 18 Abs. 1 des Vierten Buches Sozialgesetzbuch    in v.H des Bemessungsbetrags nach § 5</w:t>
      </w:r>
    </w:p>
    <w:p>
      <w:r>
        <w:rPr>
          <w:rFonts w:ascii="Courier New" w:hAnsi="Courier New"/>
          <w:sz w:val="17"/>
        </w:rPr>
        <w:t xml:space="preserve">40    100</w:t>
      </w:r>
    </w:p>
    <w:p>
      <w:r>
        <w:rPr>
          <w:rFonts w:ascii="Courier New" w:hAnsi="Courier New"/>
          <w:sz w:val="17"/>
        </w:rPr>
        <w:t xml:space="preserve">45    88</w:t>
      </w:r>
    </w:p>
    <w:p>
      <w:r>
        <w:rPr>
          <w:rFonts w:ascii="Courier New" w:hAnsi="Courier New"/>
          <w:sz w:val="17"/>
        </w:rPr>
        <w:t xml:space="preserve">50    76</w:t>
      </w:r>
    </w:p>
    <w:p>
      <w:r>
        <w:rPr>
          <w:rFonts w:ascii="Courier New" w:hAnsi="Courier New"/>
          <w:sz w:val="17"/>
        </w:rPr>
        <w:t xml:space="preserve">55    64</w:t>
      </w:r>
    </w:p>
    <w:p>
      <w:r>
        <w:rPr>
          <w:rFonts w:ascii="Courier New" w:hAnsi="Courier New"/>
          <w:sz w:val="17"/>
        </w:rPr>
        <w:t xml:space="preserve">60    52</w:t>
      </w:r>
    </w:p>
    <w:p>
      <w:r>
        <w:rPr>
          <w:rFonts w:ascii="Courier New" w:hAnsi="Courier New"/>
          <w:sz w:val="17"/>
        </w:rPr>
        <w:t xml:space="preserve">65    40</w:t>
      </w:r>
    </w:p>
    <w:p>
      <w:r>
        <w:rPr>
          <w:rFonts w:ascii="Courier New" w:hAnsi="Courier New"/>
          <w:sz w:val="17"/>
        </w:rPr>
        <w:t xml:space="preserve">70    28</w:t>
      </w:r>
    </w:p>
    <w:p>
      <w:r>
        <w:rPr>
          <w:rFonts w:ascii="Courier New" w:hAnsi="Courier New"/>
          <w:sz w:val="17"/>
        </w:rPr>
        <w:t xml:space="preserve">75    16</w:t>
      </w:r>
    </w:p>
    <w:p>
      <w:r>
        <w:t xml:space="preserve">Die Beträge nach Satz 2 sind jeweils auf volle 5 Euro aufzurunden.</w:t>
      </w:r>
    </w:p>
    <w:p>
      <w:r>
        <w:t xml:space="preserve">(2) Von dem Einkommen des behinderten Menschen ist für jeden von ihm unterhaltenen Familienangehörigen ein Betrag von 12 vom Hundert der monatlichen Bezugsgröße nach § 18 Abs. 1 des Vierten Buches Sozialgesetzbuch abzusetzen; Absatz 1 Satz 3 gilt entsprechend.</w:t>
      </w:r>
    </w:p>
    <w:p>
      <w:r>
        <w:t xml:space="preserve">(3) Einkommen im Sinne der Absätze 1 und 2 sind das monatliche Netto-Arbeitsentgelt, Netto-Arbeitseinkommen und vergleichbare Lohnersatzleistungen des behinderten Menschen. Die Ermittlung des Einkommens richtet sich nach den für den zuständigen Träger maßgeblichen Regelungen.</w:t>
      </w:r>
    </w:p>
    <w:p>
      <w:r>
        <w:t xml:space="preserve">(4) Die Absätze 1 bis 3 gelten auch für die Hilfe zur erneuten Beschaffung eines Kraftfahrzeugs. Die Hilfe soll nicht vor Ablauf von fünf Jahren seit der Beschaffung des zuletzt geförderten Fahrzeugs geleistet werden.</w:t>
      </w:r>
    </w:p>
    <w:p>
      <w:r>
        <w:rPr>
          <w:color w:val="555555"/>
          <w:sz w:val="17"/>
        </w:rPr>
        <w:t xml:space="preserve">Zitiervorschlag: § 6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https://recht.nulegal.eu/gesetze/KfzHV/6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