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KfzHV — Leistungen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Kraftfahrzeughilfe umfaßt Leistungen</w:t>
      </w:r>
    </w:p>
    <w:p>
      <w:pPr>
        <w:ind w:left="420"/>
      </w:pPr>
      <w:r>
        <w:t xml:space="preserve">1. zur Beschaffung eines Kraftfahrzeugs,</w:t>
      </w:r>
    </w:p>
    <w:p>
      <w:pPr>
        <w:ind w:left="420"/>
      </w:pPr>
      <w:r>
        <w:t xml:space="preserve">2. für eine behinderungsbedingte Zusatzausstattung,</w:t>
      </w:r>
    </w:p>
    <w:p>
      <w:pPr>
        <w:ind w:left="420"/>
      </w:pPr>
      <w:r>
        <w:t xml:space="preserve">3. zur Erlangung einer Fahrerlaubnis.</w:t>
      </w:r>
    </w:p>
    <w:p>
      <w:r>
        <w:t xml:space="preserve">(2) Die Leistungen werden als Zuschüsse und nach Maßgabe des § 9 als Darlehen erbracht.</w:t>
      </w:r>
    </w:p>
    <w:p>
      <w:r>
        <w:rPr>
          <w:color w:val="555555"/>
          <w:sz w:val="17"/>
        </w:rPr>
        <w:t xml:space="preserve">Zitiervorschlag: § 2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