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KfzHV — Übergangsvorschriften</w:t>
      </w:r>
    </w:p>
    <w:p>
      <w:r>
        <w:rPr>
          <w:color w:val="555555"/>
          <w:sz w:val="18"/>
        </w:rPr>
        <w:t xml:space="preserve">Kraftfahrzeughilfe-Verordnung</w:t>
      </w:r>
    </w:p>
    <w:p>
      <w:r>
        <w:rPr>
          <w:color w:val="555555"/>
          <w:sz w:val="18"/>
        </w:rPr>
        <w:t xml:space="preserve">Stand: 01.01.2025 (konsolidierte Textfassung, kein amtliches Inkrafttretensdatum)</w:t>
      </w:r>
    </w:p>
    <w:p>
      <w:r>
        <w:t xml:space="preserve">(1) Auf Geschädigte im Sinne des Vierzehnten Buches Sozialgesetzbuch und der Gesetze, die das Vierzehnte Buch Sozialgesetzbuch für entsprechend anwendbar erklären, die vor Inkrafttreten dieser Verordnung Hilfe zur Beschaffung eines Kraftfahrzeugs im Rahmen der Teilhabe am Arbeitsleben erhalten haben, sind die bisher geltenden Bestimmungen weiterhin anzuwenden, wenn sie günstiger sind und der Beschädigte es beantragt. Gleiches gilt für geschädigte Personen nach dem Soldatenentschädigungsgesetz.</w:t>
      </w:r>
    </w:p>
    <w:p>
      <w:r>
        <w:t xml:space="preserve">(2) Über Leistungen, die bei Inkrafttreten dieser Verordnung bereits beantragt sind, ist nach den bisher geltenden Bestimmungen zu entscheiden, wenn sie für den behinderten Menschen günstiger sind.</w:t>
      </w:r>
    </w:p>
    <w:p>
      <w:r>
        <w:t xml:space="preserve">(3) (weggefallen)</w:t>
      </w:r>
    </w:p>
    <w:p>
      <w:r>
        <w:rPr>
          <w:color w:val="555555"/>
          <w:sz w:val="17"/>
        </w:rPr>
        <w:t xml:space="preserve">Zitiervorschlag: § 13 KfzHV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https://recht.nulegal.eu/gesetze/KfzHV/13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