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 KfzAbkGBRG</w:t>
      </w:r>
    </w:p>
    <w:p>
      <w:r>
        <w:rPr>
          <w:color w:val="555555"/>
          <w:sz w:val="18"/>
        </w:rPr>
        <w:t xml:space="preserve">Gesetz zu dem Abkommen vom 5. November 1971 zwischen der Regierung der Bundesrepublik Deutschland und der Regierung des Vereinigten Königreichs Großbritannien und Nordirland über die steuerliche Behandlung von Straßenfahrzeugen im internationalen Verkehr</w:t>
      </w:r>
    </w:p>
    <w:p>
      <w:r>
        <w:rPr>
          <w:color w:val="555555"/>
          <w:sz w:val="18"/>
        </w:rPr>
        <w:t xml:space="preserve">Stand: 10.06.2019 (konsolidierte Textfassung, kein amtliches Inkrafttretensdatum)</w:t>
      </w:r>
    </w:p>
    <w:p>
      <w:r>
        <w:t xml:space="preserve">Dieses Gesetz gilt auch im Land Berlin, sofern das Land Berlin die Anwendung dieses Gesetzes feststellt. Rechtsverordnungen, die auf Grund dieses Gesetzes erlassen werden, gelten im Land Berlin nach § 14 des Dritten Überleitungsgesetzes vom 4. Januar 1952 (Bundesgesetzbl. I S. 1).</w:t>
      </w:r>
    </w:p>
    <w:p>
      <w:r>
        <w:rPr>
          <w:color w:val="555555"/>
          <w:sz w:val="17"/>
        </w:rPr>
        <w:t xml:space="preserve">Zitiervorschlag: Art 4 KfzAbkGBRG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https://recht.nulegal.eu/gesetze/KfzAbkGBRG/4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