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Kfz-EEV — Datenübermittlung an die Europäische Umweltagentur und das Bundesministerium für Umwelt, Naturschutz, nukleare Sicherheit und Verbraucherschutz</w:t>
      </w:r>
    </w:p>
    <w:p>
      <w:r>
        <w:rPr>
          <w:color w:val="555555"/>
          <w:sz w:val="18"/>
        </w:rPr>
        <w:t xml:space="preserve">Kfz-Energieverbrauchsdaten-Erfassung-Verordnung</w:t>
      </w:r>
    </w:p>
    <w:p>
      <w:r>
        <w:rPr>
          <w:color w:val="555555"/>
          <w:sz w:val="18"/>
        </w:rPr>
        <w:t xml:space="preserve">Stand: 08.08.2024 (konsolidierte Textfassung, kein amtliches Inkrafttretensdatum)</w:t>
      </w:r>
    </w:p>
    <w:p>
      <w:r>
        <w:t xml:space="preserve">(1) Das Kraftfahrt-Bundesamt hat aus der Energieverbrauchsdatei</w:t>
      </w:r>
    </w:p>
    <w:p>
      <w:pPr>
        <w:ind w:left="420"/>
      </w:pPr>
      <w:r>
        <w:t xml:space="preserve">1. die Daten nach § 3 Absatz 2 Nummer 1,</w:t>
      </w:r>
    </w:p>
    <w:p>
      <w:pPr>
        <w:ind w:left="420"/>
      </w:pPr>
      <w:r>
        <w:t xml:space="preserve">2. den Anteil der Widersprüche nach § 3 Absatz 2 Nummer 2 an der Gesamtzahl der Fälle, die dem Kraftfahrt-Bundesamt nach § 3 Absatz 2 übermittelt wurden,</w:t>
      </w:r>
    </w:p>
    <w:p>
      <w:pPr>
        <w:ind w:left="420"/>
      </w:pPr>
      <w:r>
        <w:t xml:space="preserve">3. den Anteil der Fälle nach § 3 Absatz 2 Nummer 3, bei denen eine Datenerhebung aus technischen Gründen erfolglos war, an der Gesamtzahl der Fälle, die dem Kraftfahrt-Bundesamt nach § 3 Absatz 2 übermittelt wurden, und</w:t>
      </w:r>
    </w:p>
    <w:p>
      <w:pPr>
        <w:ind w:left="420"/>
      </w:pPr>
      <w:r>
        <w:t xml:space="preserve">4. den Anteil der Fälle nach § 3 Absatz 2 Nummer 3, bei denen die Datenerhebung aus anderen Gründen erfolglos war, an der Gesamtzahl der Fälle, die dem Kraftfahrt-Bundesamt nach § 3 Absatz 2 übermittelt wurden,</w:t>
      </w:r>
    </w:p>
    <w:p>
      <w:r>
        <w:t xml:space="preserve">jährlich zum 1. April dem von der Europäischen Umweltagentur verwalteten zentralen Datenarchiv nach Maßgabe von Nummer 1 des Anhangs zur Durchführungsverordnung (EU) 2021/392 zu übermitteln.</w:t>
      </w:r>
    </w:p>
    <w:p>
      <w:r>
        <w:t xml:space="preserve">(2) Die Anteile nach Absatz 1 Nummer 2, 3 und 4 hat das Kraftfahrt-Bundesamt zusätzlich dem Bundesministerium für Umwelt, Naturschutz, nukleare Sicherheit und Verbraucherschutz zu übermitteln.</w:t>
      </w:r>
    </w:p>
    <w:p>
      <w:r>
        <w:rPr>
          <w:color w:val="555555"/>
          <w:sz w:val="17"/>
        </w:rPr>
        <w:t xml:space="preserve">Zitiervorschlag: § 4 Kfz-EEV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https://recht.nulegal.eu/gesetze/Kfz-EEV/4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