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Kfz-EEV — Anwendungsbereich</w:t>
      </w:r>
    </w:p>
    <w:p>
      <w:r>
        <w:rPr>
          <w:color w:val="555555"/>
          <w:sz w:val="18"/>
        </w:rPr>
        <w:t xml:space="preserve">Kfz-Energieverbrauchsdaten-Erfassung-Verordnung</w:t>
      </w:r>
    </w:p>
    <w:p>
      <w:r>
        <w:rPr>
          <w:color w:val="555555"/>
          <w:sz w:val="18"/>
        </w:rPr>
        <w:t xml:space="preserve">Stand: 08.08.2024 (konsolidierte Textfassung, kein amtliches Inkrafttretensdatum)</w:t>
      </w:r>
    </w:p>
    <w:p>
      <w:r>
        <w:t xml:space="preserve">(1) Diese Verordnung regelt die Erhebung der Daten aus dem praktischen Fahrbetrieb zum Kraftstoffverbrauch oder zum Kraftstoff- und Stromverbrauch bei Gelegenheit der Hauptuntersuchung und deren Übermittlung an die Europäische Umweltagentur nach der Durchführungsverordnung (EU) 2021/392 der Kommission vom 4. März 2021 über die Überwachung und Meldung von Daten zu den CO2-Emissionen von Personenkraftwagen und leichten Nutzfahrzeugen gemäß der Verordnung (EU) 2019/631 des Europäischen Parlaments und des Rates und zur Aufhebung der Durchführungsverordnungen (EU) Nr. 1014/2010, (EU) Nr. 293/2012, (EU) 2017/1152 und (EU) 2017/1153 der Kommission (ABl. L 77 vom 5.3.2021, S. 8).</w:t>
      </w:r>
    </w:p>
    <w:p>
      <w:r>
        <w:t xml:space="preserve">(2) Diese Verordnung gilt nicht für Fahrzeuge, die keiner Pflicht zur Durchführung der Hauptuntersuchung nach § 29 Absatz 1 Satz 1 der Straßenverkehrs-Zulassungs-Ordnung vom 26. April 2012 (BGBl. I S. 679), die zuletzt durch Artikel 22 des Gesetzes vom 2. März 2023 (BGBl. 2023 I Nr. 56) geändert worden ist, unterliegen.</w:t>
      </w:r>
    </w:p>
    <w:p>
      <w:r>
        <w:rPr>
          <w:color w:val="555555"/>
          <w:sz w:val="17"/>
        </w:rPr>
        <w:t xml:space="preserve">Zitiervorschlag: § 1 Kfz-EEV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https://recht.nulegal.eu/gesetze/Kfz-EEV/1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