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KflDiAusbV — Struktur und Zielsetzung der Berufsausbildung</w:t>
      </w:r>
    </w:p>
    <w:p>
      <w:r>
        <w:rPr>
          <w:color w:val="555555"/>
          <w:sz w:val="18"/>
        </w:rPr>
        <w:t xml:space="preserve">Verordnung über die Berufsausbildung für Kaufleute in den Dienstleistungsbereichen Gesundheitswesen sowie Veranstaltungswirtschaft</w:t>
      </w:r>
    </w:p>
    <w:p>
      <w:r>
        <w:rPr>
          <w:color w:val="555555"/>
          <w:sz w:val="18"/>
        </w:rPr>
        <w:t xml:space="preserve">Stand: 10.06.2019 (konsolidierte Textfassung, kein amtliches Inkrafttretensdatum)</w:t>
      </w:r>
    </w:p>
    <w:p>
      <w:r>
        <w:t xml:space="preserve">(1) Die Ausbildung vermittelt in einem zeitlichen Umfang von insgesamt 18 Monaten, verteilt über die gesamte Ausbildungszeit, gemeinsame Fertigkeiten und Kenntnisse für eine kaufmännische Berufstätigkeit in den Dienstleistungsbereichen Gesundheitswesen oder Veranstaltungswirtschaft gemäß § 4 Nr. 1 bis 6 und § 16 Nr. 1 bis 6.</w:t>
      </w:r>
    </w:p>
    <w:p>
      <w:r>
        <w:t xml:space="preserve">(2) Im Umfang von weiteren 18 Monaten werden, verteilt über die gesamte Ausbildungszeit, unterschiedliche berufsspezifische Fertigkeiten und Kenntnisse vermittelt:</w:t>
      </w:r>
    </w:p>
    <w:p>
      <w:pPr>
        <w:ind w:left="420"/>
      </w:pPr>
      <w:r>
        <w:t xml:space="preserve">a) für den Kaufmann im Gesundheitswesen/für die Kauffrau im Gesundheitswesen gemäß § 4 Nr. 7 bis 12,</w:t>
      </w:r>
    </w:p>
    <w:p>
      <w:pPr>
        <w:ind w:left="420"/>
      </w:pPr>
      <w:r>
        <w:t xml:space="preserve">b) (weggefallen)</w:t>
      </w:r>
    </w:p>
    <w:p>
      <w:pPr>
        <w:ind w:left="420"/>
      </w:pPr>
      <w:r>
        <w:t xml:space="preserve">c) für den Veranstaltungskaufmann/für die Veranstaltungskauffrau gemäß § 16 Nr. 7 bis 14.</w:t>
      </w:r>
    </w:p>
    <w:p>
      <w:r>
        <w:t xml:space="preserve">(3) Die in dieser Verordnung genannten Fertigkeiten und Kenntnisse sollen so vermittelt werden, dass der Auszubildende zur Ausübung einer qualifizierten beruflichen Tätigkeit im Sinne des § 1 Abs. 2 des Berufsbildungsgesetzes befähigt wird, die insbesondere selbstständiges Planen, Durchführen und Kontrollieren einschließt. Die in Satz 1 beschriebene Befähigung ist auch in den Prüfungen nach den §§ 8 und 9 sowie 20 und 21 nachzuweisen.</w:t>
      </w:r>
    </w:p>
    <w:p>
      <w:r>
        <w:rPr>
          <w:color w:val="555555"/>
          <w:sz w:val="17"/>
        </w:rPr>
        <w:t xml:space="preserve">Zitiervorschlag: § 3 KflDiAusbV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https://recht.nulegal.eu/gesetze/KflDiAusbV/3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