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KflDiAusbV — Staatliche Anerkennung der Ausbildungsberufe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Ausbildungsberufe</w:t>
      </w:r>
    </w:p>
    <w:p>
      <w:pPr>
        <w:ind w:left="420"/>
      </w:pPr>
      <w:r>
        <w:t xml:space="preserve">1. Kaufmann im Gesundheitswesen/Kauffrau im Gesundheitswesen,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Veranstaltungskaufmann/Veranstaltungskauffrau</w:t>
      </w:r>
    </w:p>
    <w:p>
      <w:r>
        <w:t xml:space="preserve">werden staatlich anerkannt.</w:t>
      </w:r>
    </w:p>
    <w:p>
      <w:r>
        <w:rPr>
          <w:color w:val="555555"/>
          <w:sz w:val="17"/>
        </w:rPr>
        <w:t xml:space="preserve">Zitiervorschlag: § 1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