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KfWV — Vorschriften über die Beaufsichtigung der Institute</w:t>
      </w:r>
    </w:p>
    <w:p>
      <w:r>
        <w:rPr>
          <w:color w:val="555555"/>
          <w:sz w:val="18"/>
        </w:rPr>
        <w:t xml:space="preserve">KfW-Verordnung</w:t>
      </w:r>
    </w:p>
    <w:p>
      <w:r>
        <w:rPr>
          <w:color w:val="555555"/>
          <w:sz w:val="18"/>
        </w:rPr>
        <w:t xml:space="preserve">Stand: 22.02.2023 (konsolidierte Textfassung, kein amtliches Inkrafttretensdatum)</w:t>
      </w:r>
    </w:p>
    <w:p>
      <w:r>
        <w:t xml:space="preserve">Folgende Vorschriften des Kreditwesengesetzes sind auf die Anstalt und die KfW-Gruppe entsprechend anzuwenden:</w:t>
      </w:r>
    </w:p>
    <w:p>
      <w:pPr>
        <w:ind w:left="420"/>
      </w:pPr>
      <w:r>
        <w:t xml:space="preserve">1. § 33 Absatz 1 Nummer 2 und 4 bis 4b des Kreditwesengesetzes,</w:t>
      </w:r>
    </w:p>
    <w:p>
      <w:pPr>
        <w:ind w:left="420"/>
      </w:pPr>
      <w:r>
        <w:t xml:space="preserve">2. § 36 des Kreditwesengesetzes,</w:t>
      </w:r>
    </w:p>
    <w:p>
      <w:pPr>
        <w:ind w:left="420"/>
      </w:pPr>
      <w:r>
        <w:t xml:space="preserve">3. die §§ 44 und 44a des Kreditwesengesetzes,</w:t>
      </w:r>
    </w:p>
    <w:p>
      <w:pPr>
        <w:ind w:left="420"/>
      </w:pPr>
      <w:r>
        <w:t xml:space="preserve">4. die §§ 45 bis 46a des Kreditwesengesetzes und</w:t>
      </w:r>
    </w:p>
    <w:p>
      <w:pPr>
        <w:ind w:left="420"/>
      </w:pPr>
      <w:r>
        <w:t xml:space="preserve">5. § 49 des Kreditwesengesetzes.</w:t>
      </w:r>
    </w:p>
    <w:p>
      <w:r>
        <w:rPr>
          <w:color w:val="555555"/>
          <w:sz w:val="17"/>
        </w:rPr>
        <w:t xml:space="preserve">Zitiervorschlag: § 4 KfWV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https://recht.nulegal.eu/gesetze/KfWV/4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