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KfWV — Vorschriften für Institute, Institutsgruppen, Finanzholding-Gruppen, Finanzkonglomerate, gemischte Finanzholding-Gesellschaften und gemischte Unternehmen</w:t>
      </w:r>
    </w:p>
    <w:p>
      <w:r>
        <w:rPr>
          <w:color w:val="555555"/>
          <w:sz w:val="18"/>
        </w:rPr>
        <w:t xml:space="preserve">KfW-Verordnung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Folgende Vorschriften der Verordnung (EU) Nr. 575/2013, der Verordnung (EU) 2022/2554 und des Kreditwesengesetzes sind auf die Anstalt und die KfW-Gruppe entsprechend anzuwenden:</w:t>
      </w:r>
    </w:p>
    <w:p>
      <w:pPr>
        <w:ind w:left="420"/>
      </w:pPr>
      <w:r>
        <w:t xml:space="preserve">1. die Artikel 25 bis 91 der Verordnung (EU) Nr. 575/2013 sowie die §§ 10 und 12a des Kreditwesengesetzes,</w:t>
      </w:r>
    </w:p>
    <w:p>
      <w:pPr>
        <w:ind w:left="420"/>
      </w:pPr>
      <w:r>
        <w:t xml:space="preserve">2. die Artikel 92 bis 386 und die Artikel 465 bis 501b der Verordnung (EU) Nr. 575/2013,</w:t>
      </w:r>
    </w:p>
    <w:p>
      <w:pPr>
        <w:ind w:left="420"/>
      </w:pPr>
      <w:r>
        <w:t xml:space="preserve">3. die Artikel 11 bis 24 der Verordnung (EU) Nr. 575/2013 sowie § 10a des Kreditwesengesetzes,</w:t>
      </w:r>
    </w:p>
    <w:p>
      <w:pPr>
        <w:ind w:left="420"/>
      </w:pPr>
      <w:r>
        <w:t xml:space="preserve">4. die §§ 10b bis 10j des Kreditwesengesetzes,</w:t>
      </w:r>
    </w:p>
    <w:p>
      <w:pPr>
        <w:ind w:left="420"/>
      </w:pPr>
      <w:r>
        <w:t xml:space="preserve">5. § 12 des Kreditwesengesetzes,</w:t>
      </w:r>
    </w:p>
    <w:p>
      <w:pPr>
        <w:ind w:left="420"/>
      </w:pPr>
      <w:r>
        <w:t xml:space="preserve">6. die Artikel 387 bis 410 der Verordnung (EU) Nr. 575/2013 sowie die §§ 13 bis 13c, 15 und 17 bis 22 des Kreditwesengesetzes,</w:t>
      </w:r>
    </w:p>
    <w:p>
      <w:pPr>
        <w:ind w:left="420"/>
      </w:pPr>
      <w:r>
        <w:t xml:space="preserve">7. § 23 des Kreditwesengesetzes,</w:t>
      </w:r>
    </w:p>
    <w:p>
      <w:pPr>
        <w:ind w:left="420"/>
      </w:pPr>
      <w:r>
        <w:t xml:space="preserve">8. die §§ 24 bis 24b und 25 des Kreditwesengesetzes,</w:t>
      </w:r>
    </w:p>
    <w:p>
      <w:pPr>
        <w:ind w:left="420"/>
      </w:pPr>
      <w:r>
        <w:t xml:space="preserve">9. die §§ 25a und 25b des Kreditwesengesetzes, soweit sich nicht aus § 8 etwas Abweichendes ergibt,</w:t>
      </w:r>
    </w:p>
    <w:p>
      <w:pPr>
        <w:ind w:left="420"/>
      </w:pPr>
      <w:r>
        <w:t xml:space="preserve">10. die §§ 25c bis 25f des Kreditwesengesetzes, § 7 Absatz 5 des Gesetzes über die Kreditanstalt für Wiederaufbau bleibt unberührt,</w:t>
      </w:r>
    </w:p>
    <w:p>
      <w:pPr>
        <w:ind w:left="420"/>
      </w:pPr>
      <w:r>
        <w:t xml:space="preserve">11. die §§ 25g bis 25m des Kreditwesengesetzes,</w:t>
      </w:r>
    </w:p>
    <w:p>
      <w:pPr>
        <w:ind w:left="420"/>
      </w:pPr>
      <w:r>
        <w:t xml:space="preserve">12. § 26 des Kreditwesengesetzes,</w:t>
      </w:r>
    </w:p>
    <w:p>
      <w:pPr>
        <w:ind w:left="420"/>
      </w:pPr>
      <w:r>
        <w:t xml:space="preserve">13. die §§ 28 bis 30 und 31 Absatz 3 des Kreditwesengesetzes,</w:t>
      </w:r>
    </w:p>
    <w:p>
      <w:pPr>
        <w:ind w:left="420"/>
      </w:pPr>
      <w:r>
        <w:t xml:space="preserve">14. die Artikel 429 bis 429g der Verordnung (EU) Nr. 575/2013,</w:t>
      </w:r>
    </w:p>
    <w:p>
      <w:pPr>
        <w:ind w:left="420"/>
      </w:pPr>
      <w:r>
        <w:t xml:space="preserve">15. die Artikel 430 und 430b der Verordnung (EU) Nr. 575/2013,</w:t>
      </w:r>
    </w:p>
    <w:p>
      <w:pPr>
        <w:ind w:left="420"/>
      </w:pPr>
      <w:r>
        <w:t xml:space="preserve">16. die Artikel 5 bis 15 der Verordnung (EU) 2022/2554,</w:t>
      </w:r>
    </w:p>
    <w:p>
      <w:pPr>
        <w:ind w:left="420"/>
      </w:pPr>
      <w:r>
        <w:t xml:space="preserve">17. die Artikel 17 bis 30 der Verordnung (EU) 2022/2554 und</w:t>
      </w:r>
    </w:p>
    <w:p>
      <w:pPr>
        <w:ind w:left="420"/>
      </w:pPr>
      <w:r>
        <w:t xml:space="preserve">18. Artikel 45 der Verordnung (EU) 2022/2554.</w:t>
      </w:r>
    </w:p>
    <w:p>
      <w:r>
        <w:rPr>
          <w:color w:val="555555"/>
          <w:sz w:val="17"/>
        </w:rPr>
        <w:t xml:space="preserve">Zitiervorschlag: § 3 KfWV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