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KfWV — Anwendungsbereich</w:t>
      </w:r>
    </w:p>
    <w:p>
      <w:r>
        <w:rPr>
          <w:color w:val="555555"/>
          <w:sz w:val="18"/>
        </w:rPr>
        <w:t xml:space="preserve">KfW-Verordnung</w:t>
      </w:r>
    </w:p>
    <w:p>
      <w:r>
        <w:rPr>
          <w:color w:val="555555"/>
          <w:sz w:val="18"/>
        </w:rPr>
        <w:t xml:space="preserve">Stand: 04.01.2025 (konsolidierte Textfassung, kein amtliches Inkrafttretensdatum)</w:t>
      </w:r>
    </w:p>
    <w:p>
      <w:r>
        <w:t xml:space="preserve">(1) Diese Verordnung regelt, welche Vorschriften</w:t>
      </w:r>
    </w:p>
    <w:p>
      <w:pPr>
        <w:ind w:left="420"/>
      </w:pPr>
      <w:r>
        <w:t xml:space="preserve">1. des Kreditwesengesetzes in der jeweils geltenden Fassung,</w:t>
      </w:r>
    </w:p>
    <w:p>
      <w:pPr>
        <w:ind w:left="420"/>
      </w:pPr>
      <w:r>
        <w:t xml:space="preserve">2. des Finanzkonglomerate-Aufsichtsgesetzes in der jeweils geltenden Fassung,</w:t>
      </w:r>
    </w:p>
    <w:p>
      <w:pPr>
        <w:ind w:left="420"/>
      </w:pPr>
      <w:r>
        <w:t xml:space="preserve">3. der Verordnung (EU) Nr. 575/2013 des Europäischen Parlaments und des Rates vom 26. Juni 2013 über Aufsichtsanforderungen an Kreditinstitute und Wertpapierfirmen und zur Änderung der Verordnung (EU) Nr. 646/2012 (ABl. L 176 vom 27.6.2013, S. 1) in der jeweils geltenden Fassung sowie</w:t>
      </w:r>
    </w:p>
    <w:p>
      <w:pPr>
        <w:ind w:left="420"/>
      </w:pPr>
      <w:r>
        <w:t xml:space="preserve">4. der Verordnung (EU) 2022/2554 des Europäischen Parlaments und des Rates vom 14. Dezember 2022 über die digitale operationale Resilienz im Finanzsektor und zur Änderung der Verordnungen (EG) Nr. 1060/2009, (EU) Nr. 648/2012, (EU) Nr. 600/2014, (EU) Nr. 909/2014 und (EU) 2016/1011 (ABl. L 333 vom 27.12.2022, S. 1) in der jeweils geltenden Fassung</w:t>
      </w:r>
    </w:p>
    <w:p>
      <w:r>
        <w:t xml:space="preserve">entsprechend anzuwenden sind auf die Kreditanstalt für Wiederaufbau (Anstalt) und die KfW-Gruppe sowie die Aufsicht über die Anstalt und die KfW-Gruppe. Die Zusammensetzung der KfW-Gruppe ergibt sich aus einer entsprechenden Anwendung des § 10a des Kreditwesengesetzes. § 2 Absatz 1 Nummer 2, Absatz 2 und 6 Nummer 2 des Kreditwesengesetzes bleibt unberührt.</w:t>
      </w:r>
    </w:p>
    <w:p>
      <w:r>
        <w:t xml:space="preserve">(2) Rechtsverordnungen und Rechtsakte zur Durchführung der in dieser Verordnung für anwendbar erklärten bankaufsichtsrechtlichen Vorschriften sind entsprechend in der jeweils geltenden Fassung anzuwenden.</w:t>
      </w:r>
    </w:p>
    <w:p>
      <w:r>
        <w:t xml:space="preserve">(3) Die Verordnung regelt ferner die Zuweisung der Aufsicht über die Einhaltung der in dieser Verordnung für entsprechend anwendbar erklärten bankaufsichtsrechtlichen Vorschriften durch die Anstalt und die KfW-Gruppe an die Bundesanstalt für Finanzdienstleistungsaufsicht (Bundesanstalt).</w:t>
      </w:r>
    </w:p>
    <w:p>
      <w:r>
        <w:rPr>
          <w:color w:val="555555"/>
          <w:sz w:val="17"/>
        </w:rPr>
        <w:t xml:space="preserve">Zitiervorschlag: § 1 KfWV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https://recht.nulegal.eu/gesetze/KfWV/1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