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KfSachvV — Bewertung der Prüfung</w:t>
      </w:r>
    </w:p>
    <w:p>
      <w:r>
        <w:rPr>
          <w:color w:val="555555"/>
          <w:sz w:val="18"/>
        </w:rPr>
        <w:t xml:space="preserve">Verordnung zur Durchführung des Kraftfahrsachverständigengesetzes</w:t>
      </w:r>
    </w:p>
    <w:p>
      <w:r>
        <w:rPr>
          <w:color w:val="555555"/>
          <w:sz w:val="18"/>
        </w:rPr>
        <w:t xml:space="preserve">Stand: 10.06.2019 (konsolidierte Textfassung, kein amtliches Inkrafttretensdatum)</w:t>
      </w:r>
    </w:p>
    <w:p>
      <w:r>
        <w:t xml:space="preserve">(1) Der praktische Teil der Prüfung ist als bestanden oder als nicht bestanden zu bewerten.</w:t>
      </w:r>
    </w:p>
    <w:p>
      <w:r>
        <w:t xml:space="preserve">(2) Im schriftlichen und mündlichen Teil sind die drei Fachgebiete jeweils getrennt zu bewerten. Für jedes Fachgebiet sind aus den Einzelnoten des schriftlichen und mündlichen Teils Gesamtnoten zu bilden. Es ist nach folgenden Noten zu bewerten:</w:t>
      </w:r>
    </w:p>
    <w:p>
      <w:r>
        <w:rPr>
          <w:rFonts w:ascii="Courier New" w:hAnsi="Courier New"/>
          <w:sz w:val="17"/>
        </w:rPr>
        <w:t xml:space="preserve">sehr gut    (1) = eine besonders hervorragende Leistung;</w:t>
      </w:r>
    </w:p>
    <w:p>
      <w:r>
        <w:rPr>
          <w:rFonts w:ascii="Courier New" w:hAnsi="Courier New"/>
          <w:sz w:val="17"/>
        </w:rPr>
        <w:t xml:space="preserve">gut    (2) = eine erheblich über dem Durchschnitt liegende Leistung;</w:t>
      </w:r>
    </w:p>
    <w:p>
      <w:r>
        <w:rPr>
          <w:rFonts w:ascii="Courier New" w:hAnsi="Courier New"/>
          <w:sz w:val="17"/>
        </w:rPr>
        <w:t xml:space="preserve">befriedigend    (3) = eine über dem Durchschnitt liegende Leistung;</w:t>
      </w:r>
    </w:p>
    <w:p>
      <w:r>
        <w:rPr>
          <w:rFonts w:ascii="Courier New" w:hAnsi="Courier New"/>
          <w:sz w:val="17"/>
        </w:rPr>
        <w:t xml:space="preserve">ausreichend    (4) = eine Leistung, die durchschnittlichen Anforderungen entspricht;</w:t>
      </w:r>
    </w:p>
    <w:p>
      <w:r>
        <w:rPr>
          <w:rFonts w:ascii="Courier New" w:hAnsi="Courier New"/>
          <w:sz w:val="17"/>
        </w:rPr>
        <w:t xml:space="preserve">mangelhaft    (5) = eine Leistung mit erheblichen Mängeln;</w:t>
      </w:r>
    </w:p>
    <w:p>
      <w:r>
        <w:rPr>
          <w:rFonts w:ascii="Courier New" w:hAnsi="Courier New"/>
          <w:sz w:val="17"/>
        </w:rPr>
        <w:t xml:space="preserve">ungenügend    (6) = eine völlig unbrauchbare Leistung.</w:t>
      </w:r>
    </w:p>
    <w:p>
      <w:r>
        <w:rPr>
          <w:color w:val="555555"/>
          <w:sz w:val="17"/>
        </w:rPr>
        <w:t xml:space="preserve">Zitiervorschlag: § 9 KfSachvV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