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KfSachvV — Schriftlicher Teil der Prüfung</w:t>
      </w:r>
    </w:p>
    <w:p>
      <w:r>
        <w:rPr>
          <w:color w:val="555555"/>
          <w:sz w:val="18"/>
        </w:rPr>
        <w:t xml:space="preserve">Verordnung zur Durchführung des Kraftfahrsachverständigengesetzes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der Prüfung hat der Bewerber um die amtliche Anerkennung als Sachverständiger, bei dem die Anerkennung nicht auf Teilbefugnisse beschränkt werden soll, umfassende Kenntnisse in folgenden Fachgebieten nachzuweisen:</w:t>
      </w:r>
    </w:p>
    <w:p>
      <w:pPr>
        <w:ind w:left="420"/>
      </w:pPr>
      <w:r>
        <w:t xml:space="preserve">1. Bau und Betrieb von Kraftfahrzeugen und ihren Anhängern;</w:t>
      </w:r>
    </w:p>
    <w:p>
      <w:pPr>
        <w:ind w:left="420"/>
      </w:pPr>
      <w:r>
        <w:t xml:space="preserve">2. Straßenverkehrsrecht sowie die die Sachverständigentätigkeit berührenden anderen Rechtsgebiete;</w:t>
      </w:r>
    </w:p>
    <w:p>
      <w:pPr>
        <w:ind w:left="420"/>
      </w:pPr>
      <w:r>
        <w:t xml:space="preserve">3. Tätigkeit des Sachverständigen.</w:t>
      </w:r>
    </w:p>
    <w:p>
      <w:r>
        <w:t xml:space="preserve">Darin eingeschlossen ist der Nachweis, daß der Bewerber mit den Gefahren des Straßenverkehrs und den zu ihrer Abwehr erforderlichen Verhaltensweisen vertraut ist.</w:t>
      </w:r>
    </w:p>
    <w:p>
      <w:r>
        <w:t xml:space="preserve">(2) Für den Bewerber um die amtliche Anerkennung als Sachverständiger mit Teilbefugnissen oder als Prüfer gilt Absatz 1 entsprechend; jedoch genügen hinreichende Kenntnisse der Kraftfahrzeugtechnik und der maßgebenden gesetzlichen Vorschriften. Bei der Anerkennung als Prüfer mit Teilbefugnissen genügen die Kenntnisse des für seine Befugnisse erforderlichen Wissensstoffs.</w:t>
      </w:r>
    </w:p>
    <w:p>
      <w:r>
        <w:t xml:space="preserve">(3) Im schriftlichen Teil der Prüfung hat der Bewerber unter Aufsicht aus den Fachgebieten des Absatzes 1 je eine Aufgabe zu behandeln. Die drei Aufgaben sind in längstens fünf Stunden Dauer in übersichtlicher Form zu behandeln. Eine Ergänzung durch Handskizzen kann verlangt werden.</w:t>
      </w:r>
    </w:p>
    <w:p>
      <w:r>
        <w:t xml:space="preserve">(4) Der Vorsitzende kann Gesetzestexte und technische Handbücher als Hilfsmittel zulassen.</w:t>
      </w:r>
    </w:p>
    <w:p>
      <w:r>
        <w:rPr>
          <w:color w:val="555555"/>
          <w:sz w:val="17"/>
        </w:rPr>
        <w:t xml:space="preserve">Zitiervorschlag: § 7 KfSachvV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