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KfSachvV — Praktischer Teil der Prüfung</w:t>
      </w:r>
    </w:p>
    <w:p>
      <w:r>
        <w:rPr>
          <w:color w:val="555555"/>
          <w:sz w:val="18"/>
        </w:rPr>
        <w:t xml:space="preserve">Verordnung zur Durchführung des Kraftfahrsachverständigengesetzes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praktischen Teil der Prüfung hat der Bewerber nachzuweisen, daß er Kraftfahrzeuge aller Klassen für Verbrennungsmaschinen vorschriftsmäßig, sicher und gewandt im Straßenverkehr führen kann.</w:t>
      </w:r>
    </w:p>
    <w:p>
      <w:r>
        <w:t xml:space="preserve">(2) Der Vorsitzende kann bestimmen, daß der praktische Teil der Prüfung vor nur zwei Mitgliedern des Prüfungsausschusses abgelegt wird.</w:t>
      </w:r>
    </w:p>
    <w:p>
      <w:r>
        <w:rPr>
          <w:color w:val="555555"/>
          <w:sz w:val="17"/>
        </w:rPr>
        <w:t xml:space="preserve">Zitiervorschlag: § 6 KfSachvV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https://recht.nulegal.eu/gesetze/KfSachvV/6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