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KfSachvV — Inkrafttreten</w:t>
      </w:r>
    </w:p>
    <w:p>
      <w:r>
        <w:rPr>
          <w:color w:val="555555"/>
          <w:sz w:val="18"/>
        </w:rPr>
        <w:t xml:space="preserve">Verordnung zur Durchführung des Kraftfahrsachverständigengesetzes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Tage nach der Verkündung in Kraft.</w:t>
      </w:r>
    </w:p>
    <w:p>
      <w:r>
        <w:t xml:space="preserve">(2) Für Amtshandlungen, Prüfungen und Untersuchungen nach dem Kraftfahrsachverständigengesetz und nach den auf diesem Gesetz beruhenden Rechtsvorschriften werden Kosten (Gebühren und Auslagen) nach der Gebührenordnung für Maßnahmen im Straßenverkehr erhoben.</w:t>
      </w:r>
    </w:p>
    <w:p>
      <w:r>
        <w:rPr>
          <w:color w:val="555555"/>
          <w:sz w:val="17"/>
        </w:rPr>
        <w:t xml:space="preserve">Zitiervorschlag: § 17 KfSachvV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https://recht.nulegal.eu/gesetze/KfSachvV/17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