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EV KfSachvG — Auszug aus EinigVtr Anlage I Kapitel XI Sachgebiet B Abschnitt III (BGBl. II 1990, 889, 1103) - Maßgaben für das beigetretene Gebiet (Art. 3 EinigVtr) -</w:t>
      </w:r>
    </w:p>
    <w:p>
      <w:r>
        <w:rPr>
          <w:color w:val="555555"/>
          <w:sz w:val="18"/>
        </w:rPr>
        <w:t xml:space="preserve">Kraftfahrsachverständigengesetz</w:t>
      </w:r>
    </w:p>
    <w:p>
      <w:r>
        <w:rPr>
          <w:color w:val="555555"/>
          <w:sz w:val="18"/>
        </w:rPr>
        <w:t xml:space="preserve">Stand: 12.07.2025 (konsolidierte Textfassung, kein amtliches Inkrafttretensdatum)</w:t>
      </w:r>
    </w:p>
    <w:p>
      <w:r>
        <w:t xml:space="preserve">Abschnitt III Bundesrecht tritt in dem in Artikel 3 des Vertrages genannten Gebiet mit folgenden Maßgaben in Kraft: ...</w:t>
      </w:r>
    </w:p>
    <w:p>
      <w:pPr>
        <w:ind w:left="420"/>
      </w:pPr>
      <w:r>
        <w:t xml:space="preserve">7. Kraftfahrsachverständigengesetz vom 22. Dezember 1971 (BGBl. I S. 2086), zuletzt geändert durch Gesetz vom 8. Juni 1989 (BGBl. I S. 1026),mit folgender Maßgabe:Die bis 31. März 1991 nach dem bisherigen Recht der Deutschen Demokratischen Republik erfolgten oder noch vorzunehmenden amtlichen Anerkennungen als Sachverständiger behalten ihre Gültigkeit und gelten als vorschriftsmäßige Anerkennungen im Sinne des Kraftfahrsachverständigengesetzes.</w:t>
      </w:r>
    </w:p>
    <w:p>
      <w:r>
        <w:t xml:space="preserve">...</w:t>
      </w:r>
    </w:p>
    <w:p>
      <w:r>
        <w:rPr>
          <w:color w:val="555555"/>
          <w:sz w:val="17"/>
        </w:rPr>
        <w:t xml:space="preserve">Zitiervorschlag: Anhang EV KfSachvG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https://recht.nulegal.eu/gesetze/KfSachvG/anhang-ev</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