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KfSachvG — Rücknahme und Widerruf der Anerkennung</w:t>
      </w:r>
    </w:p>
    <w:p>
      <w:r>
        <w:rPr>
          <w:color w:val="555555"/>
          <w:sz w:val="18"/>
        </w:rPr>
        <w:t xml:space="preserve">Kraftfahrsachverständigengesetz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Anerkennung als Sachverständiger oder als Prüfer ist zurückzunehmen, wenn bei ihrer Erteilung eine der Voraussetzungen des § 2 nicht vorgelegen hat und keine Ausnahme nach § 17 genehmigt worden ist.</w:t>
      </w:r>
    </w:p>
    <w:p>
      <w:r>
        <w:t xml:space="preserve">(2) Die Anerkennung als Sachverständiger oder als Prüfer ist zu widerrufen, wenn eine der in § 2 Abs. 1 Nr. 2, Nr. 6 oder Nr. 7 erster Halbsatz genannten Voraussetzungen für die Anerkennung nicht mehr vorliegt. § 7 Abs. 1 Nr. 4 und Abs. 3 bleibt unberührt.</w:t>
      </w:r>
    </w:p>
    <w:p>
      <w:r>
        <w:t xml:space="preserve">(3) Zur Vorbereitung einer Entscheidung nach Absatz 1 oder 2 kann die Anerkennungsbehörde von der betroffenen Person die Vorlage eines amts- oder fachärztlichen Zeugnisses oder eines Gutachtens einer amtlich anerkannten Begutachtungsstelle für Fahreignung verlangen.</w:t>
      </w:r>
    </w:p>
    <w:p>
      <w:r>
        <w:rPr>
          <w:color w:val="555555"/>
          <w:sz w:val="17"/>
        </w:rPr>
        <w:t xml:space="preserve">Zitiervorschlag: § 8 KfSachvG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