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KfSachvG — Ruhen und Erlöschen der Anerkennung</w:t>
      </w:r>
    </w:p>
    <w:p>
      <w:r>
        <w:rPr>
          <w:color w:val="555555"/>
          <w:sz w:val="18"/>
        </w:rPr>
        <w:t xml:space="preserve">Kraftfahrsachverständigengesetz</w:t>
      </w:r>
    </w:p>
    <w:p>
      <w:r>
        <w:rPr>
          <w:color w:val="555555"/>
          <w:sz w:val="18"/>
        </w:rPr>
        <w:t xml:space="preserve">Stand: 02.12.2019 (konsolidierte Textfassung, kein amtliches Inkrafttretensdatum)</w:t>
      </w:r>
    </w:p>
    <w:p>
      <w:r>
        <w:t xml:space="preserve">(1) Die Anerkennung ruht,</w:t>
      </w:r>
    </w:p>
    <w:p>
      <w:pPr>
        <w:ind w:left="420"/>
      </w:pPr>
      <w:r>
        <w:t xml:space="preserve">1. solange für den Sachverständigen oder den Prüfer ein Fahrverbot nach § 25 des Straßenverkehrsgesetzes oder nach § 44 des Strafgesetzbuchs besteht,</w:t>
      </w:r>
    </w:p>
    <w:p>
      <w:pPr>
        <w:ind w:left="420"/>
      </w:pPr>
      <w:r>
        <w:t xml:space="preserve">2. solange der Führerschein nach § 94 der Strafprozeßordnung in Verwahrung genommen, sichergestellt oder beschlagnahmt ist,</w:t>
      </w:r>
    </w:p>
    <w:p>
      <w:pPr>
        <w:ind w:left="420"/>
      </w:pPr>
      <w:r>
        <w:t xml:space="preserve">3. solange die Fahrerlaubnis nach § 111a der Strafprozeßordnung vorläufig entzogen oder bei einer Entziehung im Verwaltungsverfahren die sofortige Vollziehung angeordnet worden und die aufschiebende Wirkung eines Rechtsbehelfs nicht wiederhergestellt ist oder</w:t>
      </w:r>
    </w:p>
    <w:p>
      <w:pPr>
        <w:ind w:left="420"/>
      </w:pPr>
      <w:r>
        <w:t xml:space="preserve">4. wenn der Sachverständige oder der Prüfer vorübergehend - jedoch höchstens für einen Zeitraum von sechs Monaten - einer Technischen Prüfstelle nicht angehört; die Nummern 1 bis 3 bleiben unberührt.</w:t>
      </w:r>
    </w:p>
    <w:p>
      <w:r>
        <w:t xml:space="preserve">(2) Die Anerkennung erlischt, wenn dem Sachverständigen oder dem Prüfer die Fahrerlaubnis rechtskräftig oder unanfechtbar entzogen oder die Fahrerlaubnis der Klassen C, C1, CE oder C1E nicht verlängert oder die bis zum 31. Dezember 1998 erteilte Fahrerlaubnis der Klasse 2 nicht gemäß § 76 Nr. 9 der Fahrerlaubnis-Verordnung auf die Klassen C und CE umgestellt wird. Ist die Fahrerlaubnis wegen körperlicher Mängel entzogen oder die Fahrerlaubnis der Klassen C, C1, CE oder C1E nicht verlängert oder die bis zum 31. Dezember 1998 erteilte Fahrerlaubnis der Klasse 2 nicht gemäß § 76 Nr. 9 der Fahrerlaubnis-Verordnung auf die Klassen C und CE umgestellt worden, so kann die Anerkennungsbehörde eine erneute Anerkennung unter Beschränkung auf die Wahrnehmung bestimmter Aufgaben erteilen. Zur Vorbereitung dieser Entscheidung kann die Anerkennungsbehörde von der betroffenen Person die Vorlage eines amts- oder fachärztlichen Zeugnisses oder eines Gutachtens einer amtlich anerkannten Begutachtungsstelle für Fahreignung verlangen.</w:t>
      </w:r>
    </w:p>
    <w:p>
      <w:r>
        <w:t xml:space="preserve">(3) Die Anerkennung erlischt auch, wenn der Sachverständige oder der Prüfer auf die Anerkennung verzichtet.</w:t>
      </w:r>
    </w:p>
    <w:p>
      <w:r>
        <w:rPr>
          <w:color w:val="555555"/>
          <w:sz w:val="17"/>
        </w:rPr>
        <w:t xml:space="preserve">Zitiervorschlag: § 7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