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KfSachvG — Datenvergleich zur Beseitigung von Fehlern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22 gespeicherten Daten dürfen von der örtlichen Registerbehörde an das Kraftfahrt-Bundesamt zum Fahreignungsregister und zum Zentralen Fahrerlaubnisregister übermittelt werden, soweit dies erforderlich ist, um Fehler und Abweichungen in diesen Registern festzustellen und zu beseitigen und um diese Register zu vervollständigen.</w:t>
      </w:r>
    </w:p>
    <w:p>
      <w:r>
        <w:t xml:space="preserve">(2) Die nach § 23 gespeicherten Daten dürfen vom Kraftfahrt-Bundesamt an die zuständigen örtlichen Registerbehörden übermittelt werden, soweit dies erforderlich ist, um Fehler und Abweichungen in den örtlichen Registern festzustellen und zu beseitigen und um diese Register zu vervollständigen.</w:t>
      </w:r>
    </w:p>
    <w:p>
      <w:r>
        <w:t xml:space="preserve">(3) Die Übermittlungen nach Absatz 1 oder Absatz 2 sind nur zulässig, wenn Anlaß zu der Annahme besteht, daß die Datenbestände unrichtig oder unvollständig sind.</w:t>
      </w:r>
    </w:p>
    <w:p>
      <w:r>
        <w:rPr>
          <w:color w:val="555555"/>
          <w:sz w:val="17"/>
        </w:rPr>
        <w:t xml:space="preserve">Zitiervorschlag: § 29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