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KfSachvG — Übermittlung der Daten aus den Registern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Die in den Registern gespeicherten Daten dürfen den Stellen,</w:t>
      </w:r>
    </w:p>
    <w:p>
      <w:pPr>
        <w:ind w:left="420"/>
      </w:pPr>
      <w:r>
        <w:t xml:space="preserve">1. die für die Verfolgung von Straftaten, zur Vollstreckung oder zum Vollzug von Strafen,</w:t>
      </w:r>
    </w:p>
    <w:p>
      <w:pPr>
        <w:ind w:left="420"/>
      </w:pPr>
      <w:r>
        <w:t xml:space="preserve">2. in die für die Verfolgung von Ordnungswidrigkeiten sowie die Vollstreckung von Bußgeldbescheiden und ihren Nebenfolgen nach diesem Gesetz oder</w:t>
      </w:r>
    </w:p>
    <w:p>
      <w:pPr>
        <w:ind w:left="420"/>
      </w:pPr>
      <w:r>
        <w:t xml:space="preserve">3. die für Verwaltungsmaßnahmen auf Grund dieses Gesetzes oder des Straßenverkehrsgesetzes oder nach den auf Grund dieser Gesetze erlassenen Rechtsvorschriften</w:t>
      </w:r>
    </w:p>
    <w:p>
      <w:r>
        <w:t xml:space="preserve">zuständig sind, übermittelt werden, soweit dies zur Erfüllung der diesen Stellen obliegenden Aufgaben zu den in § 24 genannten Zwecken jeweils erforderlich ist.</w:t>
      </w:r>
    </w:p>
    <w:p>
      <w:r>
        <w:t xml:space="preserve">(2) Für die Verarbeitung der Daten durch den Empfänger gilt § 43 des Straßenverkehrsgesetzes.</w:t>
      </w:r>
    </w:p>
    <w:p>
      <w:r>
        <w:rPr>
          <w:color w:val="555555"/>
          <w:sz w:val="17"/>
        </w:rPr>
        <w:t xml:space="preserve">Zitiervorschlag: § 27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