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KfSachvG — Übermittlung der Daten zur Registrierung</w:t>
      </w:r>
    </w:p>
    <w:p>
      <w:r>
        <w:rPr>
          <w:color w:val="555555"/>
          <w:sz w:val="18"/>
        </w:rPr>
        <w:t xml:space="preserve">Kraftfahrsachverständigengesetz</w:t>
      </w:r>
    </w:p>
    <w:p>
      <w:r>
        <w:rPr>
          <w:color w:val="555555"/>
          <w:sz w:val="18"/>
        </w:rPr>
        <w:t xml:space="preserve">Stand: 02.12.2019 (konsolidierte Textfassung, kein amtliches Inkrafttretensdatum)</w:t>
      </w:r>
    </w:p>
    <w:p>
      <w:r>
        <w:t xml:space="preserve">(1) Die Technischen Prüfstellen und die Überwachungsorganisationen haben die nach § 25 erhobenen Daten den zuständigen Behörden zur Speicherung in den örtlichen Kraftfahrsachverständigenregistern zu übermitteln.</w:t>
      </w:r>
    </w:p>
    <w:p>
      <w:r>
        <w:t xml:space="preserve">(2) Die für die Führung der örtlichen Register zuständigen Behörden oder die Anerkennungsbehörden haben dem Kraftfahrt-Bundesamt die nach § 23 zu speichernden Daten (einschließlich jeder Änderung dieser Daten und des Zeitpunkts der Änderung) zu übermitteln. Werden keine örtlichen Register geführt, so ist zur Übermittlung die Behörde verpflichtet, die gemäß § 22 Abs. 3 Nr. 2 bis 4 befaßt ist. Die Datenübermittlung nach den Sätzen 1 und 2 kann auch im Wege der Datenfernübertragung durch Direkteinstellung unter entsprechender Anwendung des § 30a Absatz 2 bis 4 des Straßenverkehrsgesetzes erfolgen. Das Bundesministerium für Verkehr und digitale Infrastruktur wird ermächtigt, Rechtsverordnungen mit Zustimmung des Bundesrates über die Art und den Umfang der zu übermittelnden Daten, die Maßnahmen zur Sicherung gegen Missbrauch, die weiteren Aufzeichnungen und die Einzelheiten des Übermittlungsverfahrens zu erlassen.</w:t>
      </w:r>
    </w:p>
    <w:p>
      <w:r>
        <w:t xml:space="preserve">(3) Ist ein amtlich anerkannter Sachverständiger oder Prüfer oder ein Prüfingenieur im Bereich mehrerer Anerkennungsbehörden tätig, so teilt das Kraftfahrt-Bundesamt dies mit und übermittelt die nach § 22 zu speichernden Daten den jeweiligen Anerkennungsbehörden oder den Behörden, die der Betrauung zugestimmt haben.</w:t>
      </w:r>
    </w:p>
    <w:p>
      <w:r>
        <w:rPr>
          <w:color w:val="555555"/>
          <w:sz w:val="17"/>
        </w:rPr>
        <w:t xml:space="preserve">Zitiervorschlag: § 26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