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KfSachvG — Erhebung der Daten</w:t>
      </w:r>
    </w:p>
    <w:p>
      <w:r>
        <w:rPr>
          <w:color w:val="555555"/>
          <w:sz w:val="18"/>
        </w:rPr>
        <w:t xml:space="preserve">Kraftfahrsachverständigengesetz</w:t>
      </w:r>
    </w:p>
    <w:p>
      <w:r>
        <w:rPr>
          <w:color w:val="555555"/>
          <w:sz w:val="18"/>
        </w:rPr>
        <w:t xml:space="preserve">Stand: 10.06.2019 (konsolidierte Textfassung, kein amtliches Inkrafttretensdatum)</w:t>
      </w:r>
    </w:p>
    <w:p>
      <w:r>
        <w:t xml:space="preserve">Die in den Registern nach den §§ 22 und 23 zu erfassenden Personen haben die für die Speicherung nach diesen Vorschriften erforderlichen Daten hinsichtlich der Anerkennung den zuständigen Behörden und hinsichtlich der Betrauung und Bestellung ihren Prüf- oder Dienststellen oder ihren Überwachungsorganisationen unverzüglich mitzuteilen und auf Verlangen nachzuweisen; dies gilt nicht, soweit die Daten von den zuständigen Behörden bereits im Rahmen von § 3 erfaßt werden. Außerdem sind alle Änderungen, die sich auf die erhobenen Daten beziehen, mit dem jeweiligen Zeitpunkt der Änderung unverzüglich mitzuteilen und nachzuweisen.</w:t>
      </w:r>
    </w:p>
    <w:p>
      <w:r>
        <w:rPr>
          <w:color w:val="555555"/>
          <w:sz w:val="17"/>
        </w:rPr>
        <w:t xml:space="preserve">Zitiervorschlag: § 25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