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KfSachvG — Zweck der Registrierung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Registrierung wird vorgenommen:</w:t>
      </w:r>
    </w:p>
    <w:p>
      <w:pPr>
        <w:ind w:left="420"/>
      </w:pPr>
      <w:r>
        <w:t xml:space="preserve">1. zur Feststellung über Bestand, Art und Umfang der Anerkennung nach diesem Gesetz oder der Betrauung mit der Durchführung von Fahrzeuguntersuchungen und von Ein- und Anbauabnahmen nach der Straßenverkehrs-Zulassungs-Ordnung und</w:t>
      </w:r>
    </w:p>
    <w:p>
      <w:pPr>
        <w:ind w:left="420"/>
      </w:pPr>
      <w:r>
        <w:t xml:space="preserve">2. zur Beurteilung der Eignung und Zuverlässigkeit der Personen hinsichtlich der Anerkennungen oder Betrauungen nach Nummer 1 durch die zuständigen Behörden.</w:t>
      </w:r>
    </w:p>
    <w:p>
      <w:r>
        <w:rPr>
          <w:color w:val="555555"/>
          <w:sz w:val="17"/>
        </w:rPr>
        <w:t xml:space="preserve">Zitiervorschlag: § 24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