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KfSachvG — Ordnungswidrigkeiten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 Aufgaben eines amtlich anerkannten Sachverständigen oder Prüfers für den Kraftfahrzeugverkehr wahrnimmt, ohne die dafür erforderliche Anerkennung zu besitzen,</w:t>
      </w:r>
    </w:p>
    <w:p>
      <w:pPr>
        <w:ind w:left="420"/>
      </w:pPr>
      <w:r>
        <w:t xml:space="preserve">2. Aufgaben eines amtlich anerkannten Sachverständigen oder Prüfers für den Kraftfahrzeugverkehr wahrnimmt, solange die Anerkennung nach § 7 Abs. 1 ruht,</w:t>
      </w:r>
    </w:p>
    <w:p>
      <w:pPr>
        <w:ind w:left="420"/>
      </w:pPr>
      <w:r>
        <w:t xml:space="preserve">3. entgegen § 5 den von der Anerkennungsbehörde ausgestellten Ausweis nicht unverzüglich zurückgibt, wenn die Anerkennung ruht, oder wenn sie erloschen, zurückgenommen oder widerrufen ist oder</w:t>
      </w:r>
    </w:p>
    <w:p>
      <w:pPr>
        <w:ind w:left="420"/>
      </w:pPr>
      <w:r>
        <w:t xml:space="preserve">3a. entgegen § 6 Abs. 1a Satz 1 als amtlich anerkannter Sachverständiger oder Prüfer außerhalb des Bereichs der Technischen Prüfstelle, der er angehört, tätig wird,</w:t>
      </w:r>
    </w:p>
    <w:p>
      <w:pPr>
        <w:ind w:left="420"/>
      </w:pPr>
      <w:r>
        <w:t xml:space="preserve">4. entgegen § 16 Abs. 3 als Sachverständiger oder als Prüfer außerhalb des Geschäftsbereichs der Behörde tätig wird, die die Anerkennung erteilt hat.</w:t>
      </w:r>
    </w:p>
    <w:p>
      <w:r>
        <w:t xml:space="preserve">(2) Die Ordnungswidrigkeit kann mit einer Geldbuße geahndet werden.</w:t>
      </w:r>
    </w:p>
    <w:p>
      <w:r>
        <w:t xml:space="preserve">(3) Verwaltungsbehörde im Sinne des § 36 Abs. 1 Nr. 1 des Gesetzes über Ordnungswidrigkeiten ist die Anerkennungsbehörde (§ 15 Nr. 1).</w:t>
      </w:r>
    </w:p>
    <w:p>
      <w:r>
        <w:rPr>
          <w:color w:val="555555"/>
          <w:sz w:val="17"/>
        </w:rPr>
        <w:t xml:space="preserve">Zitiervorschlag: § 20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